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ea216e120a35a61a46b930345094d247a5987f1"/>
    <w:p>
      <w:pPr>
        <w:pStyle w:val="Heading1"/>
      </w:pPr>
      <w:r>
        <w:t xml:space="preserve">Muster-Betriebsvereinbarung: Führungskräfte-Feedback / 360-Grad-Feedback</w:t>
      </w:r>
    </w:p>
    <w:p>
      <w:pPr>
        <w:pStyle w:val="FirstParagraph"/>
      </w:pPr>
      <w:r>
        <w:rPr>
          <w:b/>
          <w:bCs/>
        </w:rPr>
        <w:t xml:space="preserve">Muster für eine digital gestützte Befragung zum Führungsverhalten (Vorgesetztenbeurteilung, 360-Grad-Feedback) mit der Befragungsplattform Kultify.</w:t>
      </w:r>
    </w:p>
    <w:bookmarkStart w:id="9" w:name="Xb96713fbb45b3d2fe952d799bfbfd9afa955aad"/>
    <w:p>
      <w:pPr>
        <w:pStyle w:val="Heading2"/>
      </w:pPr>
      <w:r>
        <w:t xml:space="preserve">⚠️ Rechtlicher Hinweis — bitte zuerst lesen</w:t>
      </w:r>
    </w:p>
    <w:p>
      <w:pPr>
        <w:pStyle w:val="BlockText"/>
      </w:pPr>
      <w:r>
        <w:rPr>
          <w:b/>
          <w:bCs/>
        </w:rPr>
        <w:t xml:space="preserve">Keine Rechtsberatung.</w:t>
      </w:r>
      <w:r>
        <w:t xml:space="preserve"> </w:t>
      </w:r>
      <w:r>
        <w:t xml:space="preserve">Dieses Muster ist ein</w:t>
      </w:r>
      <w:r>
        <w:t xml:space="preserve"> </w:t>
      </w:r>
      <w:r>
        <w:rPr>
          <w:b/>
          <w:bCs/>
        </w:rPr>
        <w:t xml:space="preserve">unverbindlicher Formulierungsvorschlag ohne Gewähr</w:t>
      </w:r>
      <w:r>
        <w:t xml:space="preserve">. Es ist</w:t>
      </w:r>
      <w:r>
        <w:t xml:space="preserve"> </w:t>
      </w:r>
      <w:r>
        <w:rPr>
          <w:b/>
          <w:bCs/>
        </w:rPr>
        <w:t xml:space="preserve">keine Rechtsberatung und keine Rechtsdienstleistung</w:t>
      </w:r>
      <w:r>
        <w:t xml:space="preserve">, ersetzt beides nicht und begründet kein Mandats- oder Beratungsverhältnis.</w:t>
      </w:r>
    </w:p>
    <w:p>
      <w:pPr>
        <w:pStyle w:val="BlockText"/>
      </w:pPr>
      <w:r>
        <w:rPr>
          <w:b/>
          <w:bCs/>
        </w:rPr>
        <w:t xml:space="preserve">Keine Zusicherung.</w:t>
      </w:r>
      <w:r>
        <w:t xml:space="preserve"> </w:t>
      </w:r>
      <w:r>
        <w:t xml:space="preserve">Kultify sichert</w:t>
      </w:r>
      <w:r>
        <w:t xml:space="preserve"> </w:t>
      </w:r>
      <w:r>
        <w:rPr>
          <w:b/>
          <w:bCs/>
        </w:rPr>
        <w:t xml:space="preserve">nicht</w:t>
      </w:r>
      <w:r>
        <w:t xml:space="preserve"> </w:t>
      </w:r>
      <w:r>
        <w:t xml:space="preserve">zu, dass dieses Muster rechtssicher, vollständig, aktuell oder für Ihren Fall geeignet ist. Es ist</w:t>
      </w:r>
      <w:r>
        <w:t xml:space="preserve"> </w:t>
      </w:r>
      <w:r>
        <w:rPr>
          <w:b/>
          <w:bCs/>
        </w:rPr>
        <w:t xml:space="preserve">nicht auf Rechtskonformität geprüft</w:t>
      </w:r>
      <w:r>
        <w:t xml:space="preserve"> </w:t>
      </w:r>
      <w:r>
        <w:t xml:space="preserve">und</w:t>
      </w:r>
      <w:r>
        <w:t xml:space="preserve"> </w:t>
      </w:r>
      <w:r>
        <w:rPr>
          <w:b/>
          <w:bCs/>
        </w:rPr>
        <w:t xml:space="preserve">nicht Bestandteil des Lieferumfangs</w:t>
      </w:r>
      <w:r>
        <w:t xml:space="preserve"> </w:t>
      </w:r>
      <w:r>
        <w:t xml:space="preserve">eines Vertrags mit Kultify. Eine Haftung für die Verwendung ist ausgeschlossen, soweit gesetzlich zulässig.</w:t>
      </w:r>
    </w:p>
    <w:p>
      <w:pPr>
        <w:pStyle w:val="BlockText"/>
      </w:pPr>
      <w:r>
        <w:rPr>
          <w:b/>
          <w:bCs/>
        </w:rPr>
        <w:t xml:space="preserve">Besondere Sorgfalt bei Führungskräfte-Feedback.</w:t>
      </w:r>
      <w:r>
        <w:t xml:space="preserve"> </w:t>
      </w:r>
      <w:r>
        <w:t xml:space="preserve">Die Beurteilung von Führungskräften greift</w:t>
      </w:r>
      <w:r>
        <w:t xml:space="preserve"> </w:t>
      </w:r>
      <w:r>
        <w:rPr>
          <w:b/>
          <w:bCs/>
        </w:rPr>
        <w:t xml:space="preserve">stärker in Persönlichkeitsrechte ein</w:t>
      </w:r>
      <w:r>
        <w:t xml:space="preserve"> </w:t>
      </w:r>
      <w:r>
        <w:t xml:space="preserve">als eine allgemeine Mitarbeiterbefragung: Es entstehen</w:t>
      </w:r>
      <w:r>
        <w:t xml:space="preserve"> </w:t>
      </w:r>
      <w:r>
        <w:rPr>
          <w:b/>
          <w:bCs/>
        </w:rPr>
        <w:t xml:space="preserve">personenbezogene Daten über die beurteilte Führungskraft</w:t>
      </w:r>
      <w:r>
        <w:t xml:space="preserve">, und die Feedbackgebenden sind häufig sehr kleine Gruppen. Lassen Sie die Vereinbarung</w:t>
      </w:r>
      <w:r>
        <w:t xml:space="preserve"> </w:t>
      </w:r>
      <w:r>
        <w:rPr>
          <w:b/>
          <w:bCs/>
        </w:rPr>
        <w:t xml:space="preserve">vor Abschluss</w:t>
      </w:r>
      <w:r>
        <w:t xml:space="preserve"> </w:t>
      </w:r>
      <w:r>
        <w:t xml:space="preserve">durch Ihre</w:t>
      </w:r>
      <w:r>
        <w:t xml:space="preserve"> </w:t>
      </w:r>
      <w:r>
        <w:rPr>
          <w:b/>
          <w:bCs/>
        </w:rPr>
        <w:t xml:space="preserve">eigene Rechtsberatung</w:t>
      </w:r>
      <w:r>
        <w:t xml:space="preserve"> </w:t>
      </w:r>
      <w:r>
        <w:t xml:space="preserve">(idealerweise Fachanwält:in für Arbeitsrecht) und Ihre:n</w:t>
      </w:r>
      <w:r>
        <w:t xml:space="preserve"> </w:t>
      </w:r>
      <w:r>
        <w:rPr>
          <w:b/>
          <w:bCs/>
        </w:rPr>
        <w:t xml:space="preserve">Datenschutzbeauftragte:n</w:t>
      </w:r>
      <w:r>
        <w:t xml:space="preserve"> </w:t>
      </w:r>
      <w:r>
        <w:t xml:space="preserve">prüfen. Platzhalter sind mit […] gekennzeichnet.</w:t>
      </w:r>
    </w:p>
    <w:p>
      <w:pPr>
        <w:pStyle w:val="BlockText"/>
      </w:pPr>
      <w:r>
        <w:rPr>
          <w:b/>
          <w:bCs/>
        </w:rPr>
        <w:t xml:space="preserve">Angaben zum System sind kein Vertragsinhalt.</w:t>
      </w:r>
      <w:r>
        <w:t xml:space="preserve"> </w:t>
      </w:r>
      <w:r>
        <w:t xml:space="preserve">Die Beschreibungen des Systemverhaltens (Mindestanzahl je Perspektive, Erinnerungen, Löschfristen, KI-Funktionen) geben den Stand vom</w:t>
      </w:r>
      <w:r>
        <w:t xml:space="preserve"> </w:t>
      </w:r>
      <w:r>
        <w:rPr>
          <w:b/>
          <w:bCs/>
        </w:rPr>
        <w:t xml:space="preserve">14.07.2026</w:t>
      </w:r>
      <w:r>
        <w:t xml:space="preserve"> </w:t>
      </w:r>
      <w:r>
        <w:t xml:space="preserve">wieder und können sich durch Weiterentwicklung oder Ihre eigene Konfiguration ändern.</w:t>
      </w:r>
      <w:r>
        <w:t xml:space="preserve"> </w:t>
      </w:r>
      <w:r>
        <w:rPr>
          <w:b/>
          <w:bCs/>
        </w:rPr>
        <w:t xml:space="preserve">Maßgeblich sind allein Ihre vertraglichen Unterlagen</w:t>
      </w:r>
      <w:r>
        <w:t xml:space="preserve"> </w:t>
      </w:r>
      <w:r>
        <w:t xml:space="preserve">(AGB, Auftragsverarbeitungsvertrag, technische und organisatorische Maßnahmen, Leistungsbeschreibung).</w:t>
      </w:r>
      <w:r>
        <w:t xml:space="preserve"> </w:t>
      </w:r>
      <w:r>
        <w:rPr>
          <w:b/>
          <w:bCs/>
        </w:rPr>
        <w:t xml:space="preserve">Prüfen Sie jede Angabe gegen Ihre Konfiguration, bevor Sie unterschreiben.</w:t>
      </w:r>
    </w:p>
    <w:p>
      <w:pPr>
        <w:pStyle w:val="BlockText"/>
      </w:pPr>
      <w:r>
        <w:rPr>
          <w:b/>
          <w:bCs/>
        </w:rPr>
        <w:t xml:space="preserve">Zur Systematik:</w:t>
      </w:r>
      <w:r>
        <w:t xml:space="preserve"> </w:t>
      </w:r>
      <w:r>
        <w:t xml:space="preserve">Die Vereinbarung unterscheidet bewusst zwischen dem, was</w:t>
      </w:r>
      <w:r>
        <w:t xml:space="preserve"> </w:t>
      </w:r>
      <w:r>
        <w:rPr>
          <w:i/>
          <w:iCs/>
        </w:rPr>
        <w:t xml:space="preserve">das System</w:t>
      </w:r>
      <w:r>
        <w:t xml:space="preserve"> </w:t>
      </w:r>
      <w:r>
        <w:t xml:space="preserve">tut, und dem, wozu sich</w:t>
      </w:r>
      <w:r>
        <w:t xml:space="preserve"> </w:t>
      </w:r>
      <w:r>
        <w:rPr>
          <w:i/>
          <w:iCs/>
        </w:rPr>
        <w:t xml:space="preserve">der Arbeitgeber</w:t>
      </w:r>
      <w:r>
        <w:t xml:space="preserve"> </w:t>
      </w:r>
      <w:r>
        <w:t xml:space="preserve">verpflichtet. Mehrere Schutzmechanismen sind</w:t>
      </w:r>
      <w:r>
        <w:t xml:space="preserve"> </w:t>
      </w:r>
      <w:r>
        <w:rPr>
          <w:b/>
          <w:bCs/>
        </w:rPr>
        <w:t xml:space="preserve">konfigurierbar</w:t>
      </w:r>
      <w:r>
        <w:t xml:space="preserve"> </w:t>
      </w:r>
      <w:r>
        <w:t xml:space="preserve">— insbesondere, ob eine zu kleine Perspektive</w:t>
      </w:r>
      <w:r>
        <w:t xml:space="preserve"> </w:t>
      </w:r>
      <w:r>
        <w:rPr>
          <w:b/>
          <w:bCs/>
        </w:rPr>
        <w:t xml:space="preserve">unterdrückt</w:t>
      </w:r>
      <w:r>
        <w:t xml:space="preserve"> </w:t>
      </w:r>
      <w:r>
        <w:t xml:space="preserve">oder in eine zusammengefasste Fremdeinschätzung</w:t>
      </w:r>
      <w:r>
        <w:t xml:space="preserve"> </w:t>
      </w:r>
      <w:r>
        <w:rPr>
          <w:b/>
          <w:bCs/>
        </w:rPr>
        <w:t xml:space="preserve">gemergt</w:t>
      </w:r>
      <w:r>
        <w:t xml:space="preserve"> </w:t>
      </w:r>
      <w:r>
        <w:t xml:space="preserve">wird (§ 6 Abs. 3). Diese Vereinbarung legt die Konfiguration verbindlich fest und verpflichtet den Arbeitgeber, sie dem Betriebsrat</w:t>
      </w:r>
      <w:r>
        <w:t xml:space="preserve"> </w:t>
      </w:r>
      <w:r>
        <w:rPr>
          <w:b/>
          <w:bCs/>
        </w:rPr>
        <w:t xml:space="preserve">vor dem Start nachzuweisen</w:t>
      </w:r>
      <w:r>
        <w:t xml:space="preserve">.</w:t>
      </w:r>
    </w:p>
    <w:p>
      <w:r>
        <w:pict>
          <v:rect style="width:0;height:1.5pt" o:hralign="center" o:hrstd="t" o:hr="t"/>
        </w:pict>
      </w:r>
    </w:p>
    <w:p>
      <w:pPr>
        <w:pStyle w:val="FirstParagraph"/>
      </w:pPr>
      <w:r>
        <w:t xml:space="preserve">Zwischen</w:t>
      </w:r>
    </w:p>
    <w:p>
      <w:pPr>
        <w:pStyle w:val="BodyText"/>
      </w:pPr>
      <w:r>
        <w:rPr>
          <w:b/>
          <w:bCs/>
        </w:rPr>
        <w:t xml:space="preserve">[…]</w:t>
      </w:r>
      <w:r>
        <w:t xml:space="preserve"> </w:t>
      </w:r>
      <w:r>
        <w:t xml:space="preserve">(nachfolgend „Arbeitgeber")</w:t>
      </w:r>
    </w:p>
    <w:p>
      <w:pPr>
        <w:pStyle w:val="BodyText"/>
      </w:pPr>
      <w:r>
        <w:t xml:space="preserve">und</w:t>
      </w:r>
    </w:p>
    <w:p>
      <w:pPr>
        <w:pStyle w:val="BodyText"/>
      </w:pPr>
      <w:r>
        <w:t xml:space="preserve">dem</w:t>
      </w:r>
      <w:r>
        <w:t xml:space="preserve"> </w:t>
      </w:r>
      <w:r>
        <w:rPr>
          <w:b/>
          <w:bCs/>
        </w:rPr>
        <w:t xml:space="preserve">Betriebsrat der […]</w:t>
      </w:r>
      <w:r>
        <w:t xml:space="preserve"> </w:t>
      </w:r>
      <w:r>
        <w:t xml:space="preserve">(nachfolgend „Betriebsrat")</w:t>
      </w:r>
    </w:p>
    <w:p>
      <w:pPr>
        <w:pStyle w:val="BodyText"/>
      </w:pPr>
      <w:r>
        <w:t xml:space="preserve">wird auf Grundlage von</w:t>
      </w:r>
      <w:r>
        <w:t xml:space="preserve"> </w:t>
      </w:r>
      <w:r>
        <w:rPr>
          <w:b/>
          <w:bCs/>
        </w:rPr>
        <w:t xml:space="preserve">§ 87 Abs. 1 Nr. 6 BetrVG</w:t>
      </w:r>
      <w:r>
        <w:t xml:space="preserve">,</w:t>
      </w:r>
      <w:r>
        <w:t xml:space="preserve"> </w:t>
      </w:r>
      <w:r>
        <w:rPr>
          <w:b/>
          <w:bCs/>
        </w:rPr>
        <w:t xml:space="preserve">§ 94 Abs. 1 und Abs. 2 BetrVG</w:t>
      </w:r>
      <w:r>
        <w:t xml:space="preserve"> </w:t>
      </w:r>
      <w:r>
        <w:t xml:space="preserve">und</w:t>
      </w:r>
      <w:r>
        <w:t xml:space="preserve"> </w:t>
      </w:r>
      <w:r>
        <w:rPr>
          <w:b/>
          <w:bCs/>
        </w:rPr>
        <w:t xml:space="preserve">§ 88 BetrVG</w:t>
      </w:r>
      <w:r>
        <w:t xml:space="preserve"> </w:t>
      </w:r>
      <w:r>
        <w:t xml:space="preserve">folgende Betriebsvereinbarung geschlossen:</w:t>
      </w:r>
    </w:p>
    <w:p>
      <w:r>
        <w:pict>
          <v:rect style="width:0;height:1.5pt" o:hralign="center" o:hrstd="t" o:hr="t"/>
        </w:pict>
      </w:r>
    </w:p>
    <w:bookmarkEnd w:id="9"/>
    <w:bookmarkStart w:id="10" w:name="X29b0a0424d0f9ac70f2901fd5296633031fcbc0"/>
    <w:p>
      <w:pPr>
        <w:pStyle w:val="Heading2"/>
      </w:pPr>
      <w:r>
        <w:t xml:space="preserve">§ 1 Gegenstand und Zweck</w:t>
      </w:r>
    </w:p>
    <w:p>
      <w:pPr>
        <w:pStyle w:val="FirstParagraph"/>
      </w:pPr>
      <w:r>
        <w:t xml:space="preserve">(1) Diese Betriebsvereinbarung regelt die Durchführung von Befragungen zum</w:t>
      </w:r>
      <w:r>
        <w:t xml:space="preserve"> </w:t>
      </w:r>
      <w:r>
        <w:rPr>
          <w:b/>
          <w:bCs/>
        </w:rPr>
        <w:t xml:space="preserve">Führungsverhalten</w:t>
      </w:r>
      <w:r>
        <w:t xml:space="preserve"> </w:t>
      </w:r>
      <w:r>
        <w:t xml:space="preserve">(Führungskräfte-Feedback, 360-Grad-Feedback) mit der Befragungsplattform</w:t>
      </w:r>
      <w:r>
        <w:t xml:space="preserve"> </w:t>
      </w:r>
      <w:r>
        <w:rPr>
          <w:b/>
          <w:bCs/>
        </w:rPr>
        <w:t xml:space="preserve">Kultify</w:t>
      </w:r>
      <w:r>
        <w:t xml:space="preserve"> </w:t>
      </w:r>
      <w:r>
        <w:t xml:space="preserve">(nachfolgend „das System"), betrieben von der Kultify GmbH, Lorenzer Platz 5A, 90402 Nürnberg.</w:t>
      </w:r>
    </w:p>
    <w:p>
      <w:pPr>
        <w:pStyle w:val="BodyText"/>
      </w:pPr>
      <w:r>
        <w:t xml:space="preserve">(2)</w:t>
      </w:r>
      <w:r>
        <w:t xml:space="preserve"> </w:t>
      </w:r>
      <w:r>
        <w:rPr>
          <w:b/>
          <w:bCs/>
        </w:rPr>
        <w:t xml:space="preserve">Zweck ist ausschließlich die persönliche Weiterentwicklung der beurteilten Führungskraft.</w:t>
      </w:r>
      <w:r>
        <w:t xml:space="preserve"> </w:t>
      </w:r>
      <w:r>
        <w:t xml:space="preserve">Das Feedback dient der Reflexion des eigenen Führungsverhaltens und der Ableitung von Entwicklungsmaßnahmen.</w:t>
      </w:r>
    </w:p>
    <w:p>
      <w:pPr>
        <w:pStyle w:val="BodyText"/>
      </w:pPr>
      <w:r>
        <w:t xml:space="preserve">(3)</w:t>
      </w:r>
      <w:r>
        <w:t xml:space="preserve"> </w:t>
      </w:r>
      <w:r>
        <w:rPr>
          <w:b/>
          <w:bCs/>
        </w:rPr>
        <w:t xml:space="preserve">Das Feedback ist kein Instrument der Leistungsbeurteilung.</w:t>
      </w:r>
      <w:r>
        <w:t xml:space="preserve"> </w:t>
      </w:r>
      <w:r>
        <w:t xml:space="preserve">Es wird nicht für personelle Einzelmaßnahmen verwendet (§ 4).</w:t>
      </w:r>
    </w:p>
    <w:p>
      <w:pPr>
        <w:pStyle w:val="BodyText"/>
      </w:pPr>
      <w:r>
        <w:t xml:space="preserve">(4) Die dem Feedback zugrunde liegenden</w:t>
      </w:r>
      <w:r>
        <w:t xml:space="preserve"> </w:t>
      </w:r>
      <w:r>
        <w:rPr>
          <w:b/>
          <w:bCs/>
        </w:rPr>
        <w:t xml:space="preserve">Beurteilungsgrundsätze</w:t>
      </w:r>
      <w:r>
        <w:t xml:space="preserve"> </w:t>
      </w:r>
      <w:r>
        <w:t xml:space="preserve">(Kompetenzmodell, Beurteilungsdimensionen, Skalen) bedürfen der</w:t>
      </w:r>
      <w:r>
        <w:t xml:space="preserve"> </w:t>
      </w:r>
      <w:r>
        <w:rPr>
          <w:b/>
          <w:bCs/>
        </w:rPr>
        <w:t xml:space="preserve">Zustimmung des Betriebsrats</w:t>
      </w:r>
      <w:r>
        <w:t xml:space="preserve"> </w:t>
      </w:r>
      <w:r>
        <w:t xml:space="preserve">und sind als</w:t>
      </w:r>
      <w:r>
        <w:t xml:space="preserve"> </w:t>
      </w:r>
      <w:r>
        <w:rPr>
          <w:b/>
          <w:bCs/>
        </w:rPr>
        <w:t xml:space="preserve">Anlage 1</w:t>
      </w:r>
      <w:r>
        <w:t xml:space="preserve"> </w:t>
      </w:r>
      <w:r>
        <w:t xml:space="preserve">Bestandteil dieser Vereinbarung.</w:t>
      </w:r>
    </w:p>
    <w:p>
      <w:pPr>
        <w:pStyle w:val="BlockText"/>
      </w:pPr>
      <w:r>
        <w:rPr>
          <w:b/>
          <w:bCs/>
        </w:rPr>
        <w:t xml:space="preserve">Hinweis zur Rechtsgrundlage.</w:t>
      </w:r>
      <w:r>
        <w:t xml:space="preserve"> </w:t>
      </w:r>
      <w:r>
        <w:t xml:space="preserve">Ein erzwingbares Mitbestimmungsrecht nach</w:t>
      </w:r>
      <w:r>
        <w:t xml:space="preserve"> </w:t>
      </w:r>
      <w:r>
        <w:rPr>
          <w:b/>
          <w:bCs/>
        </w:rPr>
        <w:t xml:space="preserve">§ 94 Abs. 2 BetrVG</w:t>
      </w:r>
      <w:r>
        <w:t xml:space="preserve"> </w:t>
      </w:r>
      <w:r>
        <w:t xml:space="preserve">(allgemeine Beurteilungsgrundsätze) besteht, wenn</w:t>
      </w:r>
      <w:r>
        <w:t xml:space="preserve"> </w:t>
      </w:r>
      <w:r>
        <w:rPr>
          <w:b/>
          <w:bCs/>
        </w:rPr>
        <w:t xml:space="preserve">abstrakt-generelle Beurteilungsmerkmale</w:t>
      </w:r>
      <w:r>
        <w:t xml:space="preserve"> </w:t>
      </w:r>
      <w:r>
        <w:t xml:space="preserve">aufgestellt werden, nach denen Führungskräfte in einem</w:t>
      </w:r>
      <w:r>
        <w:t xml:space="preserve"> </w:t>
      </w:r>
      <w:r>
        <w:rPr>
          <w:b/>
          <w:bCs/>
        </w:rPr>
        <w:t xml:space="preserve">vorgegebenen Bewertungsschema</w:t>
      </w:r>
      <w:r>
        <w:t xml:space="preserve"> </w:t>
      </w:r>
      <w:r>
        <w:t xml:space="preserve">beurteilt werden. Ein strukturiertes Kompetenzmodell mit festen Dimensionen und Skalen erfüllt das regelmäßig. Für bloß</w:t>
      </w:r>
      <w:r>
        <w:t xml:space="preserve"> </w:t>
      </w:r>
      <w:r>
        <w:rPr>
          <w:b/>
          <w:bCs/>
        </w:rPr>
        <w:t xml:space="preserve">subjektive Einschätzungen</w:t>
      </w:r>
      <w:r>
        <w:t xml:space="preserve"> </w:t>
      </w:r>
      <w:r>
        <w:t xml:space="preserve">in einer anonymen Befragung hat das Bundesarbeitsgericht § 94 Abs. 2 dagegen verneint (BAG 11.12.2018 – 1 ABR 13/17). Greift § 94 Abs. 2 im Einzelfall nicht, vereinbaren die Parteien das Zustimmungserfordernis</w:t>
      </w:r>
      <w:r>
        <w:t xml:space="preserve"> </w:t>
      </w:r>
      <w:r>
        <w:rPr>
          <w:b/>
          <w:bCs/>
        </w:rPr>
        <w:t xml:space="preserve">einvernehmlich</w:t>
      </w:r>
      <w:r>
        <w:t xml:space="preserve"> </w:t>
      </w:r>
      <w:r>
        <w:t xml:space="preserve">(§ 88 BetrVG).</w:t>
      </w:r>
    </w:p>
    <w:bookmarkEnd w:id="10"/>
    <w:bookmarkStart w:id="11" w:name="X4ce034fca84fac2a7d287de7393cf8375c0b44b"/>
    <w:p>
      <w:pPr>
        <w:pStyle w:val="Heading2"/>
      </w:pPr>
      <w:r>
        <w:t xml:space="preserve">§ 2 Geltungsbereich</w:t>
      </w:r>
    </w:p>
    <w:p>
      <w:pPr>
        <w:pStyle w:val="FirstParagraph"/>
      </w:pPr>
      <w:r>
        <w:t xml:space="preserve">(1)</w:t>
      </w:r>
      <w:r>
        <w:t xml:space="preserve"> </w:t>
      </w:r>
      <w:r>
        <w:rPr>
          <w:b/>
          <w:bCs/>
        </w:rPr>
        <w:t xml:space="preserve">Räumlich:</w:t>
      </w:r>
      <w:r>
        <w:t xml:space="preserve"> </w:t>
      </w:r>
      <w:r>
        <w:t xml:space="preserve">[…]</w:t>
      </w:r>
      <w:r>
        <w:t xml:space="preserve"> </w:t>
      </w:r>
      <w:r>
        <w:rPr>
          <w:i/>
          <w:iCs/>
        </w:rPr>
        <w:t xml:space="preserve">(Betrieb / Standorte)</w:t>
      </w:r>
      <w:r>
        <w:t xml:space="preserve">.</w:t>
      </w:r>
    </w:p>
    <w:p>
      <w:pPr>
        <w:pStyle w:val="BodyText"/>
      </w:pPr>
      <w:r>
        <w:t xml:space="preserve">(2)</w:t>
      </w:r>
      <w:r>
        <w:t xml:space="preserve"> </w:t>
      </w:r>
      <w:r>
        <w:rPr>
          <w:b/>
          <w:bCs/>
        </w:rPr>
        <w:t xml:space="preserve">Beurteilte Personen:</w:t>
      </w:r>
      <w:r>
        <w:t xml:space="preserve"> </w:t>
      </w:r>
      <w:r>
        <w:t xml:space="preserve">Führungskräfte der Ebenen […].</w:t>
      </w:r>
      <w:r>
        <w:t xml:space="preserve"> </w:t>
      </w:r>
      <w:r>
        <w:t xml:space="preserve">Soweit beurteilte Personen</w:t>
      </w:r>
      <w:r>
        <w:t xml:space="preserve"> </w:t>
      </w:r>
      <w:r>
        <w:rPr>
          <w:b/>
          <w:bCs/>
        </w:rPr>
        <w:t xml:space="preserve">leitende Angestellte im Sinne des § 5 Abs. 3 BetrVG</w:t>
      </w:r>
      <w:r>
        <w:t xml:space="preserve"> </w:t>
      </w:r>
      <w:r>
        <w:t xml:space="preserve">sind, ist der Betriebsrat für deren persönliche Rechtsstellung nicht zuständig.</w:t>
      </w:r>
      <w:r>
        <w:t xml:space="preserve"> </w:t>
      </w:r>
      <w:r>
        <w:rPr>
          <w:b/>
          <w:bCs/>
        </w:rPr>
        <w:t xml:space="preserve">Die Mitbestimmung nach § 87 Abs. 1 Nr. 6 und § 94 BetrVG bleibt jedoch unberührt, soweit Beschäftigte im Sinne des § 5 Abs. 1 BetrVG Feedback geben; diese Vereinbarung gilt für solche Feedbackrunden uneingeschränkt.</w:t>
      </w:r>
    </w:p>
    <w:p>
      <w:pPr>
        <w:pStyle w:val="BodyText"/>
      </w:pPr>
      <w:r>
        <w:t xml:space="preserve">(3)</w:t>
      </w:r>
      <w:r>
        <w:t xml:space="preserve"> </w:t>
      </w:r>
      <w:r>
        <w:rPr>
          <w:b/>
          <w:bCs/>
        </w:rPr>
        <w:t xml:space="preserve">Feedbackgebende:</w:t>
      </w:r>
      <w:r>
        <w:t xml:space="preserve"> </w:t>
      </w:r>
      <w:r>
        <w:t xml:space="preserve">alle Beschäftigten im Sinne des § 5 Abs. 1 BetrVG, die in eine der in § 5 genannten Perspektiven fallen.</w:t>
      </w:r>
    </w:p>
    <w:p>
      <w:pPr>
        <w:pStyle w:val="BodyText"/>
      </w:pPr>
      <w:r>
        <w:t xml:space="preserve">(4)</w:t>
      </w:r>
      <w:r>
        <w:t xml:space="preserve"> </w:t>
      </w:r>
      <w:r>
        <w:rPr>
          <w:b/>
          <w:bCs/>
        </w:rPr>
        <w:t xml:space="preserve">Sachlich:</w:t>
      </w:r>
      <w:r>
        <w:t xml:space="preserve"> </w:t>
      </w:r>
      <w:r>
        <w:t xml:space="preserve">die Einführung und Anwendung des Systems sowie die Erhebung, Verarbeitung und Auswertung der Feedbackdaten.</w:t>
      </w:r>
    </w:p>
    <w:p>
      <w:pPr>
        <w:pStyle w:val="BodyText"/>
      </w:pPr>
      <w:r>
        <w:t xml:space="preserve">(5) Sind mehrere Betriebe des Unternehmens betroffen, ist die Zuständigkeit des Gesamt- bzw. Konzernbetriebsrats nach §§ 50, 58 BetrVG zu prüfen.</w:t>
      </w:r>
    </w:p>
    <w:bookmarkEnd w:id="11"/>
    <w:bookmarkStart w:id="12" w:name="X8901bfe6708b278ea8317d5364f8981337a3f6d"/>
    <w:p>
      <w:pPr>
        <w:pStyle w:val="Heading2"/>
      </w:pPr>
      <w:r>
        <w:t xml:space="preserve">§ 3 Freiwilligkeit und Nachteilsverbot</w:t>
      </w:r>
    </w:p>
    <w:p>
      <w:pPr>
        <w:pStyle w:val="FirstParagraph"/>
      </w:pPr>
      <w:r>
        <w:t xml:space="preserve">(1) Die Abgabe von Feedback ist für die Feedbackgebenden</w:t>
      </w:r>
      <w:r>
        <w:t xml:space="preserve"> </w:t>
      </w:r>
      <w:r>
        <w:rPr>
          <w:b/>
          <w:bCs/>
        </w:rPr>
        <w:t xml:space="preserve">freiwillig</w:t>
      </w:r>
      <w:r>
        <w:t xml:space="preserve">. Einzelne Fragen können unbeantwortet bleiben; die Teilnahme kann jederzeit abgebrochen werden.</w:t>
      </w:r>
    </w:p>
    <w:p>
      <w:pPr>
        <w:pStyle w:val="BodyText"/>
      </w:pPr>
      <w:r>
        <w:t xml:space="preserve">(2)</w:t>
      </w:r>
      <w:r>
        <w:t xml:space="preserve"> </w:t>
      </w:r>
      <w:r>
        <w:rPr>
          <w:b/>
          <w:bCs/>
        </w:rPr>
        <w:t xml:space="preserve">Aus der Teilnahme, der Nichtteilnahme, dem Abbruch oder dem Inhalt des Feedbacks dürfen Feedbackgebenden keinerlei Nachteile entstehen.</w:t>
      </w:r>
      <w:r>
        <w:t xml:space="preserve"> </w:t>
      </w:r>
      <w:r>
        <w:t xml:space="preserve">Ein Rückschluss darauf, wer welches Feedback abgegeben hat, ist unzulässig und wird durch die Maßnahmen nach § 6 ausgeschlossen.</w:t>
      </w:r>
    </w:p>
    <w:p>
      <w:pPr>
        <w:pStyle w:val="BodyText"/>
      </w:pPr>
      <w:r>
        <w:t xml:space="preserve">(3) Die Teilnahme erfolgt</w:t>
      </w:r>
      <w:r>
        <w:t xml:space="preserve"> </w:t>
      </w:r>
      <w:r>
        <w:rPr>
          <w:b/>
          <w:bCs/>
        </w:rPr>
        <w:t xml:space="preserve">während der bezahlten Arbeitszeit</w:t>
      </w:r>
      <w:r>
        <w:t xml:space="preserve"> </w:t>
      </w:r>
      <w:r>
        <w:t xml:space="preserve">und gilt als Arbeitszeit.</w:t>
      </w:r>
    </w:p>
    <w:p>
      <w:pPr>
        <w:pStyle w:val="BodyText"/>
      </w:pPr>
      <w:r>
        <w:t xml:space="preserve">(4)</w:t>
      </w:r>
      <w:r>
        <w:t xml:space="preserve"> </w:t>
      </w:r>
      <w:r>
        <w:rPr>
          <w:b/>
          <w:bCs/>
        </w:rPr>
        <w:t xml:space="preserve">Auch der beurteilten Führungskraft dürfen aus dem Feedback keine Nachteile entstehen</w:t>
      </w:r>
      <w:r>
        <w:t xml:space="preserve"> </w:t>
      </w:r>
      <w:r>
        <w:t xml:space="preserve">(§ 4 Abs. 2).</w:t>
      </w:r>
    </w:p>
    <w:p>
      <w:pPr>
        <w:pStyle w:val="BodyText"/>
      </w:pPr>
      <w:r>
        <w:t xml:space="preserve">(5) Die Teilnahme am Feedback als beurteilte Führungskraft ist […]</w:t>
      </w:r>
      <w:r>
        <w:t xml:space="preserve"> </w:t>
      </w:r>
      <w:r>
        <w:rPr>
          <w:i/>
          <w:iCs/>
        </w:rPr>
        <w:t xml:space="preserve">(freiwillig / verbindlich für die genannten Ebenen)</w:t>
      </w:r>
      <w:r>
        <w:t xml:space="preserve">.</w:t>
      </w:r>
    </w:p>
    <w:bookmarkEnd w:id="12"/>
    <w:bookmarkStart w:id="13" w:name="Xc4b866922fd7e78080d494521139df4c75082b5"/>
    <w:p>
      <w:pPr>
        <w:pStyle w:val="Heading2"/>
      </w:pPr>
      <w:r>
        <w:t xml:space="preserve">§ 4 Zweckbindung, Verbot der Leistungs- und Verhaltenskontrolle</w:t>
      </w:r>
    </w:p>
    <w:p>
      <w:pPr>
        <w:pStyle w:val="FirstParagraph"/>
      </w:pPr>
      <w:r>
        <w:t xml:space="preserve">(1) Die erhobenen Daten dürfen</w:t>
      </w:r>
      <w:r>
        <w:t xml:space="preserve"> </w:t>
      </w:r>
      <w:r>
        <w:rPr>
          <w:b/>
          <w:bCs/>
        </w:rPr>
        <w:t xml:space="preserve">ausschließlich</w:t>
      </w:r>
      <w:r>
        <w:t xml:space="preserve"> </w:t>
      </w:r>
      <w:r>
        <w:t xml:space="preserve">für den in § 1 Abs. 2 genannten Entwicklungszweck verarbeitet werden (Art. 5 Abs. 1 lit. b DSGVO). Die Nutzung anonymisierter, aggregierter Informationen durch den Anbieter nach § 11 Abs. 5 bleibt unberührt.</w:t>
      </w:r>
    </w:p>
    <w:p>
      <w:pPr>
        <w:pStyle w:val="BodyText"/>
      </w:pPr>
      <w:r>
        <w:t xml:space="preserve">(2)</w:t>
      </w:r>
      <w:r>
        <w:t xml:space="preserve"> </w:t>
      </w:r>
      <w:r>
        <w:rPr>
          <w:b/>
          <w:bCs/>
        </w:rPr>
        <w:t xml:space="preserve">Ausdrücklich unzulässig ist die Verwendung der Feedbackergebnisse</w:t>
      </w:r>
      <w:r>
        <w:t xml:space="preserve"> </w:t>
      </w:r>
      <w:r>
        <w:t xml:space="preserve">a) für die Leistungsbeurteilung der Führungskraft,</w:t>
      </w:r>
      <w:r>
        <w:t xml:space="preserve"> </w:t>
      </w:r>
      <w:r>
        <w:t xml:space="preserve">b) für Zielvereinbarungen, variable Vergütung, Bonusentscheidungen,</w:t>
      </w:r>
      <w:r>
        <w:t xml:space="preserve"> </w:t>
      </w:r>
      <w:r>
        <w:t xml:space="preserve">c) für Beförderung, Versetzung, Abmahnung, Kündigung oder sonstige disziplinarische Maßnahmen,</w:t>
      </w:r>
      <w:r>
        <w:t xml:space="preserve"> </w:t>
      </w:r>
      <w:r>
        <w:t xml:space="preserve">d) für ein</w:t>
      </w:r>
      <w:r>
        <w:t xml:space="preserve"> </w:t>
      </w:r>
      <w:r>
        <w:rPr>
          <w:b/>
          <w:bCs/>
        </w:rPr>
        <w:t xml:space="preserve">Ranking oder einen Vergleich von Führungskräften untereinander</w:t>
      </w:r>
      <w:r>
        <w:t xml:space="preserve">,</w:t>
      </w:r>
      <w:r>
        <w:t xml:space="preserve"> </w:t>
      </w:r>
      <w:r>
        <w:t xml:space="preserve">e) zur Kontrolle des Verhaltens oder der Leistung der Feedbackgebenden,</w:t>
      </w:r>
      <w:r>
        <w:t xml:space="preserve"> </w:t>
      </w:r>
      <w:r>
        <w:t xml:space="preserve">f) zur Ermittlung, wer welches Feedback oder welchen Kommentar abgegeben hat.</w:t>
      </w:r>
    </w:p>
    <w:p>
      <w:pPr>
        <w:pStyle w:val="BodyText"/>
      </w:pPr>
      <w:r>
        <w:t xml:space="preserve">(3) Die Ergebnisse werden</w:t>
      </w:r>
      <w:r>
        <w:t xml:space="preserve"> </w:t>
      </w:r>
      <w:r>
        <w:rPr>
          <w:b/>
          <w:bCs/>
        </w:rPr>
        <w:t xml:space="preserve">nicht in die Personalakte aufgenommen</w:t>
      </w:r>
      <w:r>
        <w:t xml:space="preserve"> </w:t>
      </w:r>
      <w:r>
        <w:t xml:space="preserve">und nicht an Dritte außerhalb des in § 8 geregelten Kreises weitergegeben.</w:t>
      </w:r>
    </w:p>
    <w:p>
      <w:pPr>
        <w:pStyle w:val="BodyText"/>
      </w:pPr>
      <w:r>
        <w:t xml:space="preserve">(4) Automatisierte Einzelentscheidungen im Sinne des Art. 22 DSGVO finden nicht statt.</w:t>
      </w:r>
    </w:p>
    <w:p>
      <w:pPr>
        <w:pStyle w:val="BodyText"/>
      </w:pPr>
      <w:r>
        <w:t xml:space="preserve">(5) Eine Zweckänderung ist nur mit vorheriger Zustimmung des Betriebsrats und nach Prüfung durch die/den Datenschutzbeauftragte:n zulässig.</w:t>
      </w:r>
    </w:p>
    <w:bookmarkEnd w:id="13"/>
    <w:bookmarkStart w:id="14" w:name="X2e44667377942a325c34210be25e498408bd37b"/>
    <w:p>
      <w:pPr>
        <w:pStyle w:val="Heading2"/>
      </w:pPr>
      <w:r>
        <w:t xml:space="preserve">§ 4a Rechtsgrundlage</w:t>
      </w:r>
    </w:p>
    <w:p>
      <w:pPr>
        <w:pStyle w:val="FirstParagraph"/>
      </w:pPr>
      <w:r>
        <w:t xml:space="preserve">(1) Diese Betriebsvereinbarung ist Rechtsgrundlage für die in ihr geregelte Verarbeitung personenbezogener Daten (</w:t>
      </w:r>
      <w:r>
        <w:rPr>
          <w:b/>
          <w:bCs/>
        </w:rPr>
        <w:t xml:space="preserve">Art. 88 Abs. 1 DSGVO in Verbindung mit § 26 Abs. 4 BDSG</w:t>
      </w:r>
      <w:r>
        <w:t xml:space="preserve">) — sowohl für die Daten der Feedbackgebenden als auch für die personenbezogenen Daten der beurteilten Führungskraft.</w:t>
      </w:r>
    </w:p>
    <w:p>
      <w:pPr>
        <w:pStyle w:val="BodyText"/>
      </w:pPr>
      <w:r>
        <w:t xml:space="preserve">(2) Als</w:t>
      </w:r>
      <w:r>
        <w:t xml:space="preserve"> </w:t>
      </w:r>
      <w:r>
        <w:rPr>
          <w:b/>
          <w:bCs/>
        </w:rPr>
        <w:t xml:space="preserve">angemessene und besondere Maßnahmen im Sinne des Art. 88 Abs. 2 DSGVO</w:t>
      </w:r>
      <w:r>
        <w:t xml:space="preserve"> </w:t>
      </w:r>
      <w:r>
        <w:t xml:space="preserve">vereinbaren die Parteien insbesondere: die Zweckbindung und das Verbot der Leistungs- und Verhaltenskontrolle (§ 4), die Anonymität und die Mindestanzahl je Perspektive (§ 6), die Rechte der beurteilten Führungskraft (§ 7), das Rollen- und Berechtigungskonzept (§ 8 und Anlage 3), die Regeln zu Freitextkommentaren (§ 9), die Grenzen der KI-gestützten Auswertung (§ 10), die Speicher- und Löschfristen (§ 12), die Transparenz (§ 13) sowie die Kontrollrechte des Betriebsrats (§ 15).</w:t>
      </w:r>
    </w:p>
    <w:p>
      <w:pPr>
        <w:pStyle w:val="BodyText"/>
      </w:pPr>
      <w:r>
        <w:t xml:space="preserve">(3) Sollte sich § 26 Abs. 4 BDSG als unanwendbar erweisen, stützt sich die Verarbeitung ergänzend auf</w:t>
      </w:r>
      <w:r>
        <w:t xml:space="preserve"> </w:t>
      </w:r>
      <w:r>
        <w:rPr>
          <w:b/>
          <w:bCs/>
        </w:rPr>
        <w:t xml:space="preserve">Art. 6 Abs. 1 lit. f DSGVO</w:t>
      </w:r>
      <w:r>
        <w:t xml:space="preserve">; die Interessenabwägung ist in dieser Vereinbarung dokumentiert.</w:t>
      </w:r>
    </w:p>
    <w:bookmarkEnd w:id="14"/>
    <w:bookmarkStart w:id="15" w:name="Xde7e1a3327894bc95283b6c1e9bb4e35f6768b9"/>
    <w:p>
      <w:pPr>
        <w:pStyle w:val="Heading2"/>
      </w:pPr>
      <w:r>
        <w:t xml:space="preserve">§ 4b Besondere Kategorien personenbezogener Daten</w:t>
      </w:r>
    </w:p>
    <w:p>
      <w:pPr>
        <w:pStyle w:val="FirstParagraph"/>
      </w:pPr>
      <w:r>
        <w:t xml:space="preserve">(1) Eine gezielte Erhebung von Daten besonderer Kategorien im Sinne des Art. 9 Abs. 1 DSGVO findet nicht statt (§ 5 Abs. 3).</w:t>
      </w:r>
    </w:p>
    <w:p>
      <w:pPr>
        <w:pStyle w:val="BodyText"/>
      </w:pPr>
      <w:r>
        <w:t xml:space="preserve">(2) Die Parteien gehen davon aus, dass</w:t>
      </w:r>
      <w:r>
        <w:t xml:space="preserve"> </w:t>
      </w:r>
      <w:r>
        <w:rPr>
          <w:b/>
          <w:bCs/>
        </w:rPr>
        <w:t xml:space="preserve">Freitextangaben unbeabsichtigt</w:t>
      </w:r>
      <w:r>
        <w:t xml:space="preserve"> </w:t>
      </w:r>
      <w:r>
        <w:t xml:space="preserve">solche Daten enthalten können. Soweit solche Daten gleichwohl verarbeitet werden, erfolgt dies auf Grundlage des</w:t>
      </w:r>
      <w:r>
        <w:t xml:space="preserve"> </w:t>
      </w:r>
      <w:r>
        <w:rPr>
          <w:b/>
          <w:bCs/>
        </w:rPr>
        <w:t xml:space="preserve">Art. 9 Abs. 2 lit. b DSGVO in Verbindung mit § 26 Abs. 3 BDSG</w:t>
      </w:r>
      <w:r>
        <w:t xml:space="preserve"> </w:t>
      </w:r>
      <w:r>
        <w:t xml:space="preserve">und dieser Betriebsvereinbarung, die insoweit angemessene und spezifische Schutzmaßnahmen vorsieht (insbesondere §§ 4, 6, 8, 9, 10 und 12).</w:t>
      </w:r>
    </w:p>
    <w:p>
      <w:pPr>
        <w:pStyle w:val="BodyText"/>
      </w:pPr>
      <w:r>
        <w:t xml:space="preserve">(3) Feedbackgebende werden im Fragebogen darauf hingewiesen, in Freitextfeldern</w:t>
      </w:r>
      <w:r>
        <w:t xml:space="preserve"> </w:t>
      </w:r>
      <w:r>
        <w:rPr>
          <w:b/>
          <w:bCs/>
        </w:rPr>
        <w:t xml:space="preserve">keine Gesundheitsdaten und keine anderen Daten besonderer Kategorien</w:t>
      </w:r>
      <w:r>
        <w:t xml:space="preserve"> </w:t>
      </w:r>
      <w:r>
        <w:t xml:space="preserve">anzugeben — weder zu sich selbst noch zur beurteilten Führungskraft.</w:t>
      </w:r>
    </w:p>
    <w:bookmarkEnd w:id="15"/>
    <w:bookmarkStart w:id="16" w:name="X33be42039181b21a6dec70a5c743898be6e5c13"/>
    <w:p>
      <w:pPr>
        <w:pStyle w:val="Heading2"/>
      </w:pPr>
      <w:r>
        <w:t xml:space="preserve">§ 5 Perspektiven und Fragebogen</w:t>
      </w:r>
    </w:p>
    <w:p>
      <w:pPr>
        <w:pStyle w:val="FirstParagraph"/>
      </w:pPr>
      <w:r>
        <w:t xml:space="preserve">(1) Feedback wird in folgenden Perspektiven erhoben: […]</w:t>
      </w:r>
      <w:r>
        <w:t xml:space="preserve"> </w:t>
      </w:r>
      <w:r>
        <w:rPr>
          <w:i/>
          <w:iCs/>
        </w:rPr>
        <w:t xml:space="preserve">(z. B. Selbsteinschätzung, direkt unterstellte Beschäftigte, Kolleg:innen auf gleicher Ebene, Vorgesetzte)</w:t>
      </w:r>
      <w:r>
        <w:t xml:space="preserve">.</w:t>
      </w:r>
    </w:p>
    <w:p>
      <w:pPr>
        <w:pStyle w:val="BodyText"/>
      </w:pPr>
      <w:r>
        <w:t xml:space="preserve">(2) Der Fragebogen ist als</w:t>
      </w:r>
      <w:r>
        <w:t xml:space="preserve"> </w:t>
      </w:r>
      <w:r>
        <w:rPr>
          <w:b/>
          <w:bCs/>
        </w:rPr>
        <w:t xml:space="preserve">Anlage 2</w:t>
      </w:r>
      <w:r>
        <w:t xml:space="preserve"> </w:t>
      </w:r>
      <w:r>
        <w:t xml:space="preserve">Bestandteil dieser Vereinbarung und bedarf der</w:t>
      </w:r>
      <w:r>
        <w:t xml:space="preserve"> </w:t>
      </w:r>
      <w:r>
        <w:rPr>
          <w:b/>
          <w:bCs/>
        </w:rPr>
        <w:t xml:space="preserve">Zustimmung des Betriebsrats</w:t>
      </w:r>
      <w:r>
        <w:t xml:space="preserve">; dies gilt auch für jede spätere Änderung. Bei strikt freiwilliger Teilnahme folgt dieses Zustimmungserfordernis aus der einvernehmlichen Vereinbarung der Parteien (§ 88 BetrVG), nicht aus § 94 Abs. 1 BetrVG (vgl. den Hinweis zu § 1 Abs. 4).</w:t>
      </w:r>
    </w:p>
    <w:p>
      <w:pPr>
        <w:pStyle w:val="BodyText"/>
      </w:pPr>
      <w:r>
        <w:t xml:space="preserve">(3) Fragen, die unangemessen in die Persönlichkeitssphäre eingreifen, sind unzulässig. Fragen nach Gesundheitsdaten oder anderen Daten besonderer Kategorien im Sinne des Art. 9 DSGVO werden nicht gestellt.</w:t>
      </w:r>
    </w:p>
    <w:p>
      <w:pPr>
        <w:pStyle w:val="BodyText"/>
      </w:pPr>
      <w:r>
        <w:t xml:space="preserve">(4) Feedbackgebende dürfen</w:t>
      </w:r>
      <w:r>
        <w:t xml:space="preserve"> </w:t>
      </w:r>
      <w:r>
        <w:rPr>
          <w:b/>
          <w:bCs/>
        </w:rPr>
        <w:t xml:space="preserve">nicht nach soziodemografischen Merkmalen</w:t>
      </w:r>
      <w:r>
        <w:t xml:space="preserve"> </w:t>
      </w:r>
      <w:r>
        <w:t xml:space="preserve">gefragt werden, soweit dies in kleinen Perspektivgruppen einen Rückschluss auf einzelne Personen zulassen würde.</w:t>
      </w:r>
    </w:p>
    <w:bookmarkEnd w:id="16"/>
    <w:bookmarkStart w:id="17" w:name="X0b6f801ba331c35e2d72732ca68a5a5d9c1b5ab"/>
    <w:p>
      <w:pPr>
        <w:pStyle w:val="Heading2"/>
      </w:pPr>
      <w:r>
        <w:t xml:space="preserve">§ 6 Anonymität der Feedbackgebenden und Mindestanzahl</w:t>
      </w:r>
    </w:p>
    <w:p>
      <w:pPr>
        <w:pStyle w:val="FirstParagraph"/>
      </w:pPr>
      <w:r>
        <w:t xml:space="preserve">(1) Das Feedback der Feedbackgebenden wird</w:t>
      </w:r>
      <w:r>
        <w:t xml:space="preserve"> </w:t>
      </w:r>
      <w:r>
        <w:rPr>
          <w:b/>
          <w:bCs/>
        </w:rPr>
        <w:t xml:space="preserve">anonym</w:t>
      </w:r>
      <w:r>
        <w:t xml:space="preserve"> </w:t>
      </w:r>
      <w:r>
        <w:t xml:space="preserve">erhoben. Identitätsdaten und Antwortdaten werden im System serverseitig getrennt; einzelne Antworten sind nach Maßgabe der technischen und organisatorischen Maßnahmen (Anlage 5) keiner Person zuordenbar — weder für Administrator:innen des Arbeitgebers, noch für die beurteilte Führungskraft, noch für den Anbieter.</w:t>
      </w:r>
    </w:p>
    <w:p>
      <w:pPr>
        <w:pStyle w:val="BodyText"/>
      </w:pPr>
      <w:r>
        <w:t xml:space="preserve">(2)</w:t>
      </w:r>
      <w:r>
        <w:t xml:space="preserve"> </w:t>
      </w:r>
      <w:r>
        <w:rPr>
          <w:b/>
          <w:bCs/>
        </w:rPr>
        <w:t xml:space="preserve">IP-Adressen, Geräteinformationen und Browser-Kennungen werden nicht gemeinsam mit den Antwortdaten gespeichert.</w:t>
      </w:r>
      <w:r>
        <w:t xml:space="preserve"> </w:t>
      </w:r>
      <w:r>
        <w:t xml:space="preserve">Server- und Administrations-Logs des Anbieters können IP-Adressen enthalten; sie werden getrennt von den Antwortdaten geführt, dienen nicht der Auswertung und werden nach</w:t>
      </w:r>
      <w:r>
        <w:t xml:space="preserve"> </w:t>
      </w:r>
      <w:r>
        <w:rPr>
          <w:b/>
          <w:bCs/>
        </w:rPr>
        <w:t xml:space="preserve">90 Tagen</w:t>
      </w:r>
      <w:r>
        <w:t xml:space="preserve"> </w:t>
      </w:r>
      <w:r>
        <w:t xml:space="preserve">gelöscht (§ 12 Abs. 4).</w:t>
      </w:r>
    </w:p>
    <w:p>
      <w:pPr>
        <w:pStyle w:val="BodyText"/>
      </w:pPr>
      <w:r>
        <w:t xml:space="preserve">(3)</w:t>
      </w:r>
      <w:r>
        <w:t xml:space="preserve"> </w:t>
      </w:r>
      <w:r>
        <w:rPr>
          <w:b/>
          <w:bCs/>
        </w:rPr>
        <w:t xml:space="preserve">Mindestanzahl je Perspektive (k).</w:t>
      </w:r>
      <w:r>
        <w:t xml:space="preserve"> </w:t>
      </w:r>
      <w:r>
        <w:t xml:space="preserve">Ergebnisse einer Perspektive werden erst angezeigt, wenn mindestens</w:t>
      </w:r>
      <w:r>
        <w:t xml:space="preserve"> </w:t>
      </w:r>
      <w:r>
        <w:rPr>
          <w:b/>
          <w:bCs/>
        </w:rPr>
        <w:t xml:space="preserve">k = […]</w:t>
      </w:r>
      <w:r>
        <w:t xml:space="preserve"> </w:t>
      </w:r>
      <w:r>
        <w:t xml:space="preserve">Feedbackgebende dieser Perspektive geantwortet haben.</w:t>
      </w:r>
      <w:r>
        <w:t xml:space="preserve"> </w:t>
      </w:r>
      <w:r>
        <w:rPr>
          <w:i/>
          <w:iCs/>
        </w:rPr>
        <w:t xml:space="preserve">(Voreinstellung des Systems: 5. Der Wert wird im verwendeten Template konfiguriert.)</w:t>
      </w:r>
    </w:p>
    <w:p>
      <w:pPr>
        <w:pStyle w:val="BlockText"/>
      </w:pPr>
      <w:r>
        <w:rPr>
          <w:b/>
          <w:bCs/>
        </w:rPr>
        <w:t xml:space="preserve">Empfohlen: k ≥ 5</w:t>
      </w:r>
      <w:r>
        <w:t xml:space="preserve">, insbesondere für die Perspektive „direkt unterstellte Beschäftigte", die häufig sehr klein ist.</w:t>
      </w:r>
    </w:p>
    <w:p>
      <w:pPr>
        <w:pStyle w:val="BlockText"/>
      </w:pPr>
      <w:r>
        <w:rPr>
          <w:b/>
          <w:bCs/>
        </w:rPr>
        <w:t xml:space="preserve">Verbindliche Konfiguration — der wichtigste Punkt dieser Vereinbarung.</w:t>
      </w:r>
      <w:r>
        <w:t xml:space="preserve"> </w:t>
      </w:r>
      <w:r>
        <w:t xml:space="preserve">Das System kann so konfiguriert werden, dass eine Perspektive unterhalb der Mindestanzahl entweder</w:t>
      </w:r>
      <w:r>
        <w:t xml:space="preserve"> </w:t>
      </w:r>
      <w:r>
        <w:rPr>
          <w:b/>
          <w:bCs/>
        </w:rPr>
        <w:t xml:space="preserve">unterdrückt</w:t>
      </w:r>
      <w:r>
        <w:t xml:space="preserve"> </w:t>
      </w:r>
      <w:r>
        <w:t xml:space="preserve">oder mit anderen Perspektiven zu einer</w:t>
      </w:r>
      <w:r>
        <w:t xml:space="preserve"> </w:t>
      </w:r>
      <w:r>
        <w:rPr>
          <w:b/>
          <w:bCs/>
        </w:rPr>
        <w:t xml:space="preserve">zusammengefassten Fremdeinschätzung gemergt</w:t>
      </w:r>
      <w:r>
        <w:t xml:space="preserve"> </w:t>
      </w:r>
      <w:r>
        <w:t xml:space="preserve">wird. Die Parteien vereinbaren die</w:t>
      </w:r>
      <w:r>
        <w:t xml:space="preserve"> </w:t>
      </w:r>
      <w:r>
        <w:rPr>
          <w:b/>
          <w:bCs/>
        </w:rPr>
        <w:t xml:space="preserve">Unterdrückung</w:t>
      </w:r>
      <w:r>
        <w:t xml:space="preserve">: Wird die Mindestanzahl nicht erreicht,</w:t>
      </w:r>
      <w:r>
        <w:t xml:space="preserve"> </w:t>
      </w:r>
      <w:r>
        <w:rPr>
          <w:b/>
          <w:bCs/>
        </w:rPr>
        <w:t xml:space="preserve">entfällt die Auswertung dieser Perspektive vollständig</w:t>
      </w:r>
      <w:r>
        <w:t xml:space="preserve">; sie wird</w:t>
      </w:r>
      <w:r>
        <w:t xml:space="preserve"> </w:t>
      </w:r>
      <w:r>
        <w:rPr>
          <w:b/>
          <w:bCs/>
        </w:rPr>
        <w:t xml:space="preserve">nicht</w:t>
      </w:r>
      <w:r>
        <w:t xml:space="preserve"> </w:t>
      </w:r>
      <w:r>
        <w:t xml:space="preserve">mit anderen Perspektiven zusammengefasst, um die Schwelle zu erreichen. Der Arbeitgeber konfiguriert das Template entsprechend und</w:t>
      </w:r>
      <w:r>
        <w:t xml:space="preserve"> </w:t>
      </w:r>
      <w:r>
        <w:rPr>
          <w:b/>
          <w:bCs/>
        </w:rPr>
        <w:t xml:space="preserve">weist dem Betriebsrat die Konfiguration vor dem Start nach</w:t>
      </w:r>
      <w:r>
        <w:t xml:space="preserve">.</w:t>
      </w:r>
    </w:p>
    <w:p>
      <w:pPr>
        <w:pStyle w:val="BlockText"/>
      </w:pPr>
      <w:r>
        <w:rPr>
          <w:i/>
          <w:iCs/>
        </w:rPr>
        <w:t xml:space="preserve">Grund: Ein Merge würde die Antworten einer zu kleinen Gruppe (z. B. drei direkt Unterstellte) nicht schützen, sondern sie lediglich in einer größeren Zahl verstecken — die Aussage bliebe in den Daten enthalten.</w:t>
      </w:r>
    </w:p>
    <w:p>
      <w:pPr>
        <w:pStyle w:val="FirstParagraph"/>
      </w:pPr>
      <w:r>
        <w:t xml:space="preserve">(4) Die</w:t>
      </w:r>
      <w:r>
        <w:t xml:space="preserve"> </w:t>
      </w:r>
      <w:r>
        <w:rPr>
          <w:b/>
          <w:bCs/>
        </w:rPr>
        <w:t xml:space="preserve">Selbsteinschätzung</w:t>
      </w:r>
      <w:r>
        <w:t xml:space="preserve"> </w:t>
      </w:r>
      <w:r>
        <w:t xml:space="preserve">ist eine eigene Angabe der beurteilten Führungskraft und keine Fremdeinschätzung; die Mindestanzahl nach Absatz 3 findet auf sie keine Anwendung.</w:t>
      </w:r>
    </w:p>
    <w:p>
      <w:pPr>
        <w:pStyle w:val="BodyText"/>
      </w:pPr>
      <w:r>
        <w:t xml:space="preserve">(5)</w:t>
      </w:r>
      <w:r>
        <w:t xml:space="preserve"> </w:t>
      </w:r>
      <w:r>
        <w:rPr>
          <w:b/>
          <w:bCs/>
        </w:rPr>
        <w:t xml:space="preserve">Keine Umgehung durch Filterkombination.</w:t>
      </w:r>
      <w:r>
        <w:t xml:space="preserve"> </w:t>
      </w:r>
      <w:r>
        <w:t xml:space="preserve">Auswertungen, die durch Kombination von Perspektiven, Zeiträumen oder Merkmalen auf einzelne Feedbackgebende zurückführbar wären, sind</w:t>
      </w:r>
      <w:r>
        <w:t xml:space="preserve"> </w:t>
      </w:r>
      <w:r>
        <w:rPr>
          <w:b/>
          <w:bCs/>
        </w:rPr>
        <w:t xml:space="preserve">unzulässig</w:t>
      </w:r>
      <w:r>
        <w:t xml:space="preserve">. Der Arbeitgeber verantwortet die Zuordnung der Feedbackgebenden zu den Perspektiven und legt sie dem Betriebsrat vor dem Start vor.</w:t>
      </w:r>
    </w:p>
    <w:p>
      <w:pPr>
        <w:pStyle w:val="BlockText"/>
      </w:pPr>
      <w:r>
        <w:rPr>
          <w:b/>
          <w:bCs/>
        </w:rPr>
        <w:t xml:space="preserve">Ehrliche Grenze der Technik:</w:t>
      </w:r>
      <w:r>
        <w:t xml:space="preserve"> </w:t>
      </w:r>
      <w:r>
        <w:t xml:space="preserve">Ein vollständiger Schutz gegen</w:t>
      </w:r>
      <w:r>
        <w:t xml:space="preserve"> </w:t>
      </w:r>
      <w:r>
        <w:rPr>
          <w:b/>
          <w:bCs/>
        </w:rPr>
        <w:t xml:space="preserve">gezielte Angriffe</w:t>
      </w:r>
      <w:r>
        <w:t xml:space="preserve"> </w:t>
      </w:r>
      <w:r>
        <w:t xml:space="preserve">ist nicht möglich. Wer über Insiderwissen verfügt und systematisch Kombinationen bildet, kann in Einzelfällen Antworten rechnerisch zurückverfolgen. Die Parteien vereinbaren ausdrücklich, solche Auswertungen zu</w:t>
      </w:r>
      <w:r>
        <w:t xml:space="preserve"> </w:t>
      </w:r>
      <w:r>
        <w:rPr>
          <w:b/>
          <w:bCs/>
        </w:rPr>
        <w:t xml:space="preserve">unterlassen</w:t>
      </w:r>
      <w:r>
        <w:t xml:space="preserve">.</w:t>
      </w:r>
    </w:p>
    <w:p>
      <w:pPr>
        <w:pStyle w:val="FirstParagraph"/>
      </w:pPr>
      <w:r>
        <w:t xml:space="preserve">(6)</w:t>
      </w:r>
      <w:r>
        <w:t xml:space="preserve"> </w:t>
      </w:r>
      <w:r>
        <w:rPr>
          <w:b/>
          <w:bCs/>
        </w:rPr>
        <w:t xml:space="preserve">Keine Verwendung des Teilnahmestatus.</w:t>
      </w:r>
      <w:r>
        <w:t xml:space="preserve"> </w:t>
      </w:r>
      <w:r>
        <w:t xml:space="preserve">Das System zeigt</w:t>
      </w:r>
      <w:r>
        <w:t xml:space="preserve"> </w:t>
      </w:r>
      <w:r>
        <w:rPr>
          <w:b/>
          <w:bCs/>
        </w:rPr>
        <w:t xml:space="preserve">nicht</w:t>
      </w:r>
      <w:r>
        <w:t xml:space="preserve"> </w:t>
      </w:r>
      <w:r>
        <w:t xml:space="preserve">an, ob eine namentlich benannte Person teilgenommen hat. Der Arbeitgeber wertet den Teilnahmestatus einzelner Feedbackgebender nicht aus, gibt ihn weder an die beurteilte Führungskraft noch an deren Vorgesetzte weiter und verwendet ihn nicht für Maßnahmen. Rücklaufübersichten werden ausschließlich aggregiert verwendet.</w:t>
      </w:r>
    </w:p>
    <w:p>
      <w:pPr>
        <w:pStyle w:val="BodyText"/>
      </w:pPr>
      <w:r>
        <w:t xml:space="preserve">(7)</w:t>
      </w:r>
      <w:r>
        <w:t xml:space="preserve"> </w:t>
      </w:r>
      <w:r>
        <w:rPr>
          <w:b/>
          <w:bCs/>
        </w:rPr>
        <w:t xml:space="preserve">Erinnerungen.</w:t>
      </w:r>
      <w:r>
        <w:t xml:space="preserve"> </w:t>
      </w:r>
      <w:r>
        <w:t xml:space="preserve">Erinnerungen werden an</w:t>
      </w:r>
      <w:r>
        <w:t xml:space="preserve"> </w:t>
      </w:r>
      <w:r>
        <w:rPr>
          <w:b/>
          <w:bCs/>
        </w:rPr>
        <w:t xml:space="preserve">alle Eingeladenen einer Perspektive</w:t>
      </w:r>
      <w:r>
        <w:t xml:space="preserve"> </w:t>
      </w:r>
      <w:r>
        <w:t xml:space="preserve">versendet — nicht selektiv an Personen, die noch nicht geantwortet haben. Aus dem Empfängerkreis lässt sich daher</w:t>
      </w:r>
      <w:r>
        <w:t xml:space="preserve"> </w:t>
      </w:r>
      <w:r>
        <w:rPr>
          <w:b/>
          <w:bCs/>
        </w:rPr>
        <w:t xml:space="preserve">kein Rückschluss auf den Teilnahmestatus</w:t>
      </w:r>
      <w:r>
        <w:t xml:space="preserve"> </w:t>
      </w:r>
      <w:r>
        <w:t xml:space="preserve">einzelner Feedbackgebender ziehen.</w:t>
      </w:r>
    </w:p>
    <w:p>
      <w:pPr>
        <w:pStyle w:val="BlockText"/>
      </w:pPr>
      <w:r>
        <w:rPr>
          <w:b/>
          <w:bCs/>
        </w:rPr>
        <w:t xml:space="preserve">Ausnahme, und was sie verrät:</w:t>
      </w:r>
      <w:r>
        <w:t xml:space="preserve"> </w:t>
      </w:r>
      <w:r>
        <w:t xml:space="preserve">Hat eine Feedbackgruppe</w:t>
      </w:r>
      <w:r>
        <w:t xml:space="preserve"> </w:t>
      </w:r>
      <w:r>
        <w:rPr>
          <w:b/>
          <w:bCs/>
        </w:rPr>
        <w:t xml:space="preserve">vollständig</w:t>
      </w:r>
      <w:r>
        <w:t xml:space="preserve"> </w:t>
      </w:r>
      <w:r>
        <w:t xml:space="preserve">(100 %) teilgenommen, versendet das System keine Erinnerung mehr. Daraus lässt sich lediglich ableiten, dass</w:t>
      </w:r>
      <w:r>
        <w:t xml:space="preserve"> </w:t>
      </w:r>
      <w:r>
        <w:rPr>
          <w:b/>
          <w:bCs/>
        </w:rPr>
        <w:t xml:space="preserve">alle</w:t>
      </w:r>
      <w:r>
        <w:t xml:space="preserve"> </w:t>
      </w:r>
      <w:r>
        <w:t xml:space="preserve">Mitglieder der Gruppe geantwortet haben — ein Rückschluss auf eine</w:t>
      </w:r>
      <w:r>
        <w:t xml:space="preserve"> </w:t>
      </w:r>
      <w:r>
        <w:rPr>
          <w:b/>
          <w:bCs/>
        </w:rPr>
        <w:t xml:space="preserve">einzelne</w:t>
      </w:r>
      <w:r>
        <w:t xml:space="preserve"> </w:t>
      </w:r>
      <w:r>
        <w:t xml:space="preserve">Person ist damit nicht möglich, da niemand herausgehoben wird.</w:t>
      </w:r>
    </w:p>
    <w:p>
      <w:pPr>
        <w:pStyle w:val="FirstParagraph"/>
      </w:pPr>
      <w:r>
        <w:t xml:space="preserve">(8) Ein Abgleich mit beim Arbeitgeber gespeicherten Personal-, Zeiterfassungs-, Leistungs- oder IT-Nutzungsdaten ist</w:t>
      </w:r>
      <w:r>
        <w:t xml:space="preserve"> </w:t>
      </w:r>
      <w:r>
        <w:rPr>
          <w:b/>
          <w:bCs/>
        </w:rPr>
        <w:t xml:space="preserve">unzulässig</w:t>
      </w:r>
      <w:r>
        <w:t xml:space="preserve">. Schnittstellen zu anderen Systemen bestehen ausschließlich in dem in</w:t>
      </w:r>
      <w:r>
        <w:t xml:space="preserve"> </w:t>
      </w:r>
      <w:r>
        <w:rPr>
          <w:b/>
          <w:bCs/>
        </w:rPr>
        <w:t xml:space="preserve">Anlage 4</w:t>
      </w:r>
      <w:r>
        <w:t xml:space="preserve"> </w:t>
      </w:r>
      <w:r>
        <w:t xml:space="preserve">abschließend beschriebenen Umfang.</w:t>
      </w:r>
    </w:p>
    <w:bookmarkEnd w:id="17"/>
    <w:bookmarkStart w:id="18" w:name="X2656428094c79dd5ecd2b351ad4ff51a7dd0c8a"/>
    <w:p>
      <w:pPr>
        <w:pStyle w:val="Heading2"/>
      </w:pPr>
      <w:r>
        <w:t xml:space="preserve">§ 7 Die beurteilte Führungskraft als betroffene Person</w:t>
      </w:r>
    </w:p>
    <w:p>
      <w:pPr>
        <w:pStyle w:val="FirstParagraph"/>
      </w:pPr>
      <w:r>
        <w:t xml:space="preserve">(1) Die Feedbackergebnisse sind</w:t>
      </w:r>
      <w:r>
        <w:t xml:space="preserve"> </w:t>
      </w:r>
      <w:r>
        <w:rPr>
          <w:b/>
          <w:bCs/>
        </w:rPr>
        <w:t xml:space="preserve">personenbezogene Daten der beurteilten Führungskraft</w:t>
      </w:r>
      <w:r>
        <w:t xml:space="preserve">.</w:t>
      </w:r>
    </w:p>
    <w:p>
      <w:pPr>
        <w:pStyle w:val="BodyText"/>
      </w:pPr>
      <w:r>
        <w:t xml:space="preserve">(2) Die beurteilte Führungskraft wird vor Beginn nach</w:t>
      </w:r>
      <w:r>
        <w:t xml:space="preserve"> </w:t>
      </w:r>
      <w:r>
        <w:rPr>
          <w:b/>
          <w:bCs/>
        </w:rPr>
        <w:t xml:space="preserve">Art. 13 bzw. Art. 14 DSGVO</w:t>
      </w:r>
      <w:r>
        <w:t xml:space="preserve"> </w:t>
      </w:r>
      <w:r>
        <w:t xml:space="preserve">über Zweck, Ablauf, Perspektiven, Mindestanzahl, Empfängerkreis des Berichts, Speicherdauer und ihre Rechte informiert (</w:t>
      </w:r>
      <w:r>
        <w:rPr>
          <w:b/>
          <w:bCs/>
        </w:rPr>
        <w:t xml:space="preserve">Anlage 6</w:t>
      </w:r>
      <w:r>
        <w:t xml:space="preserve">).</w:t>
      </w:r>
    </w:p>
    <w:p>
      <w:pPr>
        <w:pStyle w:val="BodyText"/>
      </w:pPr>
      <w:r>
        <w:t xml:space="preserve">(3) Ihr stehen die Rechte nach Art. 15 bis 21 DSGVO zu, insbesondere das Recht auf Auskunft über die zu ihrer Person verarbeiteten Daten.</w:t>
      </w:r>
      <w:r>
        <w:t xml:space="preserve"> </w:t>
      </w:r>
      <w:r>
        <w:rPr>
          <w:b/>
          <w:bCs/>
        </w:rPr>
        <w:t xml:space="preserve">Auskunft über die Identität einzelner Feedbackgebender wird nicht erteilt:</w:t>
      </w:r>
      <w:r>
        <w:t xml:space="preserve"> </w:t>
      </w:r>
      <w:r>
        <w:t xml:space="preserve">Soweit eine Zuordnung technisch nicht möglich ist, besteht insoweit kein Auskunftsanspruch (</w:t>
      </w:r>
      <w:r>
        <w:rPr>
          <w:b/>
          <w:bCs/>
        </w:rPr>
        <w:t xml:space="preserve">Art. 11 Abs. 2 DSGVO</w:t>
      </w:r>
      <w:r>
        <w:t xml:space="preserve">); im Übrigen überwiegen die Rechte und Freiheiten der Feedbackgebenden (</w:t>
      </w:r>
      <w:r>
        <w:rPr>
          <w:b/>
          <w:bCs/>
        </w:rPr>
        <w:t xml:space="preserve">Art. 15 Abs. 4 DSGVO</w:t>
      </w:r>
      <w:r>
        <w:t xml:space="preserve">).</w:t>
      </w:r>
    </w:p>
    <w:p>
      <w:pPr>
        <w:pStyle w:val="BodyText"/>
      </w:pPr>
      <w:r>
        <w:t xml:space="preserve">(4) Die beurteilte Führungskraft erhält ihren Entwicklungsbericht</w:t>
      </w:r>
      <w:r>
        <w:t xml:space="preserve"> </w:t>
      </w:r>
      <w:r>
        <w:rPr>
          <w:b/>
          <w:bCs/>
        </w:rPr>
        <w:t xml:space="preserve">vor</w:t>
      </w:r>
      <w:r>
        <w:t xml:space="preserve"> </w:t>
      </w:r>
      <w:r>
        <w:t xml:space="preserve">allen anderen Empfänger:innen (§ 8 Abs. 2). Der Arbeitgeber steuert dies über die</w:t>
      </w:r>
      <w:r>
        <w:t xml:space="preserve"> </w:t>
      </w:r>
      <w:r>
        <w:rPr>
          <w:b/>
          <w:bCs/>
        </w:rPr>
        <w:t xml:space="preserve">Freigabesteuerung</w:t>
      </w:r>
      <w:r>
        <w:t xml:space="preserve"> </w:t>
      </w:r>
      <w:r>
        <w:t xml:space="preserve">des Systems: Ein Bericht wird für weitere Empfänger:innen erst freigegeben, nachdem die beurteilte Führungskraft ihn erhalten hat.</w:t>
      </w:r>
    </w:p>
    <w:bookmarkEnd w:id="18"/>
    <w:bookmarkStart w:id="19" w:name="X5e000535af5663c7cdd286383cc73e9e9f0efb2"/>
    <w:p>
      <w:pPr>
        <w:pStyle w:val="Heading2"/>
      </w:pPr>
      <w:r>
        <w:t xml:space="preserve">§ 8 Entwicklungsbericht, Zugriffsrechte und Rollenkonzept</w:t>
      </w:r>
    </w:p>
    <w:p>
      <w:pPr>
        <w:pStyle w:val="FirstParagraph"/>
      </w:pPr>
      <w:r>
        <w:t xml:space="preserve">(1) Aus dem Feedback wird ein</w:t>
      </w:r>
      <w:r>
        <w:t xml:space="preserve"> </w:t>
      </w:r>
      <w:r>
        <w:rPr>
          <w:b/>
          <w:bCs/>
        </w:rPr>
        <w:t xml:space="preserve">Entwicklungsbericht</w:t>
      </w:r>
      <w:r>
        <w:t xml:space="preserve"> </w:t>
      </w:r>
      <w:r>
        <w:t xml:space="preserve">über die beurteilte Führungskraft erstellt.</w:t>
      </w:r>
    </w:p>
    <w:p>
      <w:pPr>
        <w:pStyle w:val="BodyText"/>
      </w:pPr>
      <w:r>
        <w:t xml:space="preserve">(2)</w:t>
      </w:r>
      <w:r>
        <w:t xml:space="preserve"> </w:t>
      </w:r>
      <w:r>
        <w:rPr>
          <w:b/>
          <w:bCs/>
        </w:rPr>
        <w:t xml:space="preserve">Der Entwicklungsbericht wird ausschließlich folgenden Personen zugänglich gemacht:</w:t>
      </w:r>
      <w:r>
        <w:t xml:space="preserve"> </w:t>
      </w:r>
      <w:r>
        <w:t xml:space="preserve">a) der</w:t>
      </w:r>
      <w:r>
        <w:t xml:space="preserve"> </w:t>
      </w:r>
      <w:r>
        <w:rPr>
          <w:b/>
          <w:bCs/>
        </w:rPr>
        <w:t xml:space="preserve">beurteilten Führungskraft</w:t>
      </w:r>
      <w:r>
        <w:t xml:space="preserve"> </w:t>
      </w:r>
      <w:r>
        <w:t xml:space="preserve">selbst,</w:t>
      </w:r>
      <w:r>
        <w:t xml:space="preserve"> </w:t>
      </w:r>
      <w:r>
        <w:t xml:space="preserve">b) […]</w:t>
      </w:r>
      <w:r>
        <w:t xml:space="preserve"> </w:t>
      </w:r>
      <w:r>
        <w:rPr>
          <w:i/>
          <w:iCs/>
        </w:rPr>
        <w:t xml:space="preserve">(optional: einer begleitenden Coach:in / Personalentwickler:in, ausschließlich zum Zweck der Entwicklungsbegleitung und unter Verschwiegenheitsverpflichtung)</w:t>
      </w:r>
      <w:r>
        <w:t xml:space="preserve">.</w:t>
      </w:r>
    </w:p>
    <w:p>
      <w:pPr>
        <w:pStyle w:val="BlockText"/>
      </w:pPr>
      <w:r>
        <w:rPr>
          <w:b/>
          <w:bCs/>
        </w:rPr>
        <w:t xml:space="preserve">Empfehlung:</w:t>
      </w:r>
      <w:r>
        <w:t xml:space="preserve"> </w:t>
      </w:r>
      <w:r>
        <w:t xml:space="preserve">Der Bericht sollte</w:t>
      </w:r>
      <w:r>
        <w:t xml:space="preserve"> </w:t>
      </w:r>
      <w:r>
        <w:rPr>
          <w:b/>
          <w:bCs/>
        </w:rPr>
        <w:t xml:space="preserve">nicht</w:t>
      </w:r>
      <w:r>
        <w:t xml:space="preserve"> </w:t>
      </w:r>
      <w:r>
        <w:t xml:space="preserve">an die Vorgesetzten der beurteilten Führungskraft und nicht an die Personalabteilung zu Beurteilungszwecken gehen. Jede Erweiterung des Empfängerkreises schwächt den Entwicklungszweck und erhöht den Druck auf die Feedbackgebenden. Wird der Kreis dennoch erweitert, ist dies hier abschließend und namentlich nach Funktion zu benennen.</w:t>
      </w:r>
    </w:p>
    <w:p>
      <w:pPr>
        <w:pStyle w:val="FirstParagraph"/>
      </w:pPr>
      <w:r>
        <w:t xml:space="preserve">(3)</w:t>
      </w:r>
      <w:r>
        <w:t xml:space="preserve"> </w:t>
      </w:r>
      <w:r>
        <w:rPr>
          <w:b/>
          <w:bCs/>
        </w:rPr>
        <w:t xml:space="preserve">Zugriffe des Anbieters</w:t>
      </w:r>
      <w:r>
        <w:t xml:space="preserve"> </w:t>
      </w:r>
      <w:r>
        <w:t xml:space="preserve">im Rahmen der Auftragsverarbeitung (Betrieb, Support, Fehlerbehebung) bleiben nach Maßgabe des Auftragsverarbeitungsvertrags (Anlage 5) unberührt; sie erfolgen ausschließlich weisungsgebunden, werden protokolliert (Audit-Log) und dienen nicht der Auswertung. Der Arbeitgeber legt dem Betriebsrat auf Verlangen die Protokolle administrativer Zugriffe vor.</w:t>
      </w:r>
    </w:p>
    <w:p>
      <w:pPr>
        <w:pStyle w:val="BodyText"/>
      </w:pPr>
      <w:r>
        <w:t xml:space="preserve">(4) Das</w:t>
      </w:r>
      <w:r>
        <w:t xml:space="preserve"> </w:t>
      </w:r>
      <w:r>
        <w:rPr>
          <w:b/>
          <w:bCs/>
        </w:rPr>
        <w:t xml:space="preserve">Rollen- und Berechtigungskonzept</w:t>
      </w:r>
      <w:r>
        <w:t xml:space="preserve"> </w:t>
      </w:r>
      <w:r>
        <w:t xml:space="preserve">ist als</w:t>
      </w:r>
      <w:r>
        <w:t xml:space="preserve"> </w:t>
      </w:r>
      <w:r>
        <w:rPr>
          <w:b/>
          <w:bCs/>
        </w:rPr>
        <w:t xml:space="preserve">Anlage 3</w:t>
      </w:r>
      <w:r>
        <w:t xml:space="preserve"> </w:t>
      </w:r>
      <w:r>
        <w:t xml:space="preserve">Bestandteil dieser Vereinbarung. Der Arbeitgeber nutzt eine geänderte Rollen- oder Rechtestruktur erst</w:t>
      </w:r>
      <w:r>
        <w:t xml:space="preserve"> </w:t>
      </w:r>
      <w:r>
        <w:rPr>
          <w:b/>
          <w:bCs/>
        </w:rPr>
        <w:t xml:space="preserve">nach Zustimmung des Betriebsrats</w:t>
      </w:r>
      <w:r>
        <w:t xml:space="preserve">.</w:t>
      </w:r>
    </w:p>
    <w:p>
      <w:pPr>
        <w:pStyle w:val="BodyText"/>
      </w:pPr>
      <w:r>
        <w:t xml:space="preserve">(5)</w:t>
      </w:r>
      <w:r>
        <w:t xml:space="preserve"> </w:t>
      </w:r>
      <w:r>
        <w:rPr>
          <w:b/>
          <w:bCs/>
        </w:rPr>
        <w:t xml:space="preserve">Aggregierte, führungskraftübergreifende Auswertungen</w:t>
      </w:r>
      <w:r>
        <w:t xml:space="preserve"> </w:t>
      </w:r>
      <w:r>
        <w:t xml:space="preserve">(z. B. Organisationsbericht über alle Führungskräfte hinweg) sind zulässig, sofern sie die Mindestanzahl nach § 6 Abs. 3 einhalten und</w:t>
      </w:r>
      <w:r>
        <w:t xml:space="preserve"> </w:t>
      </w:r>
      <w:r>
        <w:rPr>
          <w:b/>
          <w:bCs/>
        </w:rPr>
        <w:t xml:space="preserve">keinen Rückschluss auf einzelne Führungskräfte</w:t>
      </w:r>
      <w:r>
        <w:t xml:space="preserve"> </w:t>
      </w:r>
      <w:r>
        <w:t xml:space="preserve">zulassen. Ein Ranking ist auch in aggregierter Form unzulässig (§ 4 Abs. 2 lit. d).</w:t>
      </w:r>
    </w:p>
    <w:p>
      <w:pPr>
        <w:pStyle w:val="BodyText"/>
      </w:pPr>
      <w:r>
        <w:t xml:space="preserve">(6) Der Betriebsrat erhält</w:t>
      </w:r>
      <w:r>
        <w:t xml:space="preserve"> </w:t>
      </w:r>
      <w:r>
        <w:rPr>
          <w:b/>
          <w:bCs/>
        </w:rPr>
        <w:t xml:space="preserve">keine personenbezogenen Entwicklungsberichte</w:t>
      </w:r>
      <w:r>
        <w:t xml:space="preserve">. Er erhält auf Verlangen die aggregierten Organisationsergebnisse nach Absatz 5.</w:t>
      </w:r>
    </w:p>
    <w:p>
      <w:pPr>
        <w:pStyle w:val="BodyText"/>
      </w:pPr>
      <w:r>
        <w:t xml:space="preserve">(7)</w:t>
      </w:r>
      <w:r>
        <w:t xml:space="preserve"> </w:t>
      </w:r>
      <w:r>
        <w:rPr>
          <w:b/>
          <w:bCs/>
        </w:rPr>
        <w:t xml:space="preserve">Weitere Systemfunktionen.</w:t>
      </w:r>
      <w:r>
        <w:t xml:space="preserve"> </w:t>
      </w:r>
      <w:r>
        <w:t xml:space="preserve">„Geteilte Berichte", „Interaktive Dashboard-Links" und die „Semantische Suche über Freitextkommentare" werden nur nach Maßgabe des Rollen- und Berechtigungskonzepts (Anlage 3) genutzt. Geteilte Berichte und Dashboard-Links werden nur an Personen vergeben, die nach Anlage 3 ohnehin zugriffsberechtigt sind. Die semantische Suche wird</w:t>
      </w:r>
      <w:r>
        <w:t xml:space="preserve"> </w:t>
      </w:r>
      <w:r>
        <w:rPr>
          <w:b/>
          <w:bCs/>
        </w:rPr>
        <w:t xml:space="preserve">nicht</w:t>
      </w:r>
      <w:r>
        <w:t xml:space="preserve"> </w:t>
      </w:r>
      <w:r>
        <w:t xml:space="preserve">dazu verwendet, einzelne Kommentare einzelnen Personen zuzuordnen.</w:t>
      </w:r>
    </w:p>
    <w:p>
      <w:pPr>
        <w:pStyle w:val="BodyText"/>
      </w:pPr>
      <w:r>
        <w:t xml:space="preserve">(8)</w:t>
      </w:r>
      <w:r>
        <w:t xml:space="preserve"> </w:t>
      </w:r>
      <w:r>
        <w:rPr>
          <w:b/>
          <w:bCs/>
        </w:rPr>
        <w:t xml:space="preserve">Selbst gestartete Feedbackrunden</w:t>
      </w:r>
      <w:r>
        <w:t xml:space="preserve"> </w:t>
      </w:r>
      <w:r>
        <w:t xml:space="preserve">durch Führungskräfte („Self-Service") sind nur zulässig, soweit sie den Regeln dieser Vereinbarung entsprechen, insbesondere § 5 (Fragebogen) und § 6 (Mindestanzahl). Der Arbeitgeber stellt sicher, dass abweichende Konfigurationen nicht möglich sind; ist dies technisch nicht möglich, wird die Self-Service-Funktion</w:t>
      </w:r>
      <w:r>
        <w:t xml:space="preserve"> </w:t>
      </w:r>
      <w:r>
        <w:rPr>
          <w:b/>
          <w:bCs/>
        </w:rPr>
        <w:t xml:space="preserve">deaktiviert oder nicht genutzt</w:t>
      </w:r>
      <w:r>
        <w:t xml:space="preserve">.</w:t>
      </w:r>
    </w:p>
    <w:p>
      <w:pPr>
        <w:pStyle w:val="BodyText"/>
      </w:pPr>
      <w:r>
        <w:t xml:space="preserve">(9) Alle Personen mit Zugriff werden zur Vertraulichkeit verpflichtet.</w:t>
      </w:r>
    </w:p>
    <w:bookmarkEnd w:id="19"/>
    <w:bookmarkStart w:id="20" w:name="Xd1c74e1c9a48631e515ea2b7d548cb160a932b1"/>
    <w:p>
      <w:pPr>
        <w:pStyle w:val="Heading2"/>
      </w:pPr>
      <w:r>
        <w:t xml:space="preserve">§ 9 Freitextkommentare</w:t>
      </w:r>
    </w:p>
    <w:p>
      <w:pPr>
        <w:pStyle w:val="FirstParagraph"/>
      </w:pPr>
      <w:r>
        <w:t xml:space="preserve">(1) Freitextkommentare werden erst</w:t>
      </w:r>
      <w:r>
        <w:t xml:space="preserve"> </w:t>
      </w:r>
      <w:r>
        <w:rPr>
          <w:b/>
          <w:bCs/>
        </w:rPr>
        <w:t xml:space="preserve">ab der Mindestanzahl nach § 6 Abs. 3</w:t>
      </w:r>
      <w:r>
        <w:t xml:space="preserve"> </w:t>
      </w:r>
      <w:r>
        <w:t xml:space="preserve">freigegeben und in</w:t>
      </w:r>
      <w:r>
        <w:t xml:space="preserve"> </w:t>
      </w:r>
      <w:r>
        <w:rPr>
          <w:b/>
          <w:bCs/>
        </w:rPr>
        <w:t xml:space="preserve">zufälliger Reihenfolge</w:t>
      </w:r>
      <w:r>
        <w:t xml:space="preserve"> </w:t>
      </w:r>
      <w:r>
        <w:t xml:space="preserve">angezeigt. Der Kommentar-Schwellenwert gilt auch</w:t>
      </w:r>
      <w:r>
        <w:t xml:space="preserve"> </w:t>
      </w:r>
      <w:r>
        <w:rPr>
          <w:b/>
          <w:bCs/>
        </w:rPr>
        <w:t xml:space="preserve">innerhalb des Entwicklungsberichts</w:t>
      </w:r>
      <w:r>
        <w:t xml:space="preserve">.</w:t>
      </w:r>
    </w:p>
    <w:p>
      <w:pPr>
        <w:pStyle w:val="BodyText"/>
      </w:pPr>
      <w:r>
        <w:t xml:space="preserve">(2) Feedbackgebende werden ausdrücklich darauf hingewiesen,</w:t>
      </w:r>
      <w:r>
        <w:t xml:space="preserve"> </w:t>
      </w:r>
      <w:r>
        <w:rPr>
          <w:b/>
          <w:bCs/>
        </w:rPr>
        <w:t xml:space="preserve">keine Namen und keine Angaben zu machen, die Rückschlüsse auf ihre Person zulassen</w:t>
      </w:r>
      <w:r>
        <w:t xml:space="preserve"> </w:t>
      </w:r>
      <w:r>
        <w:t xml:space="preserve">(z. B. Bezug auf ein Ereignis, an dem nur sie beteiligt waren).</w:t>
      </w:r>
    </w:p>
    <w:p>
      <w:pPr>
        <w:pStyle w:val="BodyText"/>
      </w:pPr>
      <w:r>
        <w:t xml:space="preserve">(3) Die Parteien vereinbaren: […]</w:t>
      </w:r>
      <w:r>
        <w:t xml:space="preserve"> </w:t>
      </w:r>
      <w:r>
        <w:rPr>
          <w:i/>
          <w:iCs/>
        </w:rPr>
        <w:t xml:space="preserve">(zutreffendes wählen)</w:t>
      </w:r>
      <w:r>
        <w:t xml:space="preserve"> </w:t>
      </w:r>
      <w:r>
        <w:t xml:space="preserve">a) Freitextkommentare werden der beurteilten Führungskraft</w:t>
      </w:r>
      <w:r>
        <w:t xml:space="preserve"> </w:t>
      </w:r>
      <w:r>
        <w:rPr>
          <w:b/>
          <w:bCs/>
        </w:rPr>
        <w:t xml:space="preserve">wörtlich</w:t>
      </w:r>
      <w:r>
        <w:t xml:space="preserve"> </w:t>
      </w:r>
      <w:r>
        <w:t xml:space="preserve">angezeigt, oder</w:t>
      </w:r>
      <w:r>
        <w:t xml:space="preserve"> </w:t>
      </w:r>
      <w:r>
        <w:t xml:space="preserve">b) Freitextkommentare werden</w:t>
      </w:r>
      <w:r>
        <w:t xml:space="preserve"> </w:t>
      </w:r>
      <w:r>
        <w:rPr>
          <w:b/>
          <w:bCs/>
        </w:rPr>
        <w:t xml:space="preserve">ausschließlich thematisch zusammengefasst</w:t>
      </w:r>
      <w:r>
        <w:t xml:space="preserve"> </w:t>
      </w:r>
      <w:r>
        <w:t xml:space="preserve">angezeigt.</w:t>
      </w:r>
    </w:p>
    <w:p>
      <w:pPr>
        <w:pStyle w:val="BlockText"/>
      </w:pPr>
      <w:r>
        <w:rPr>
          <w:b/>
          <w:bCs/>
        </w:rPr>
        <w:t xml:space="preserve">Empfehlung:</w:t>
      </w:r>
      <w:r>
        <w:t xml:space="preserve"> </w:t>
      </w:r>
      <w:r>
        <w:t xml:space="preserve">In kleinen Perspektivgruppen ist Variante b) vorzuziehen. Ein wörtlicher Kommentar aus einer Gruppe von fünf direkt unterstellten Beschäftigten ist praktisch selten anonym. Das System unterstützt beide Varianten; die wörtliche Anzeige lässt sich pro Feedbackrunde abschalten. Der Arbeitgeber konfiguriert die gewählte Variante und weist sie dem Betriebsrat vor dem Start nach.</w:t>
      </w:r>
    </w:p>
    <w:bookmarkEnd w:id="20"/>
    <w:bookmarkStart w:id="21" w:name="X357b81553f5ad6bebbe3a631f1ad5719be7c357"/>
    <w:p>
      <w:pPr>
        <w:pStyle w:val="Heading2"/>
      </w:pPr>
      <w:r>
        <w:t xml:space="preserve">§ 10 KI-gestützte Auswertung</w:t>
      </w:r>
    </w:p>
    <w:p>
      <w:pPr>
        <w:pStyle w:val="FirstParagraph"/>
      </w:pPr>
      <w:r>
        <w:t xml:space="preserve">(1) Das System nutzt KI-gestützte Verfahren zur</w:t>
      </w:r>
      <w:r>
        <w:t xml:space="preserve"> </w:t>
      </w:r>
      <w:r>
        <w:rPr>
          <w:b/>
          <w:bCs/>
        </w:rPr>
        <w:t xml:space="preserve">thematischen Auswertung</w:t>
      </w:r>
      <w:r>
        <w:t xml:space="preserve"> </w:t>
      </w:r>
      <w:r>
        <w:t xml:space="preserve">von Freitextkommentaren: Themen-Clustering, thematische Zusammenfassung, Stimmungsbewertung je Thema sowie Übersetzung.</w:t>
      </w:r>
    </w:p>
    <w:p>
      <w:pPr>
        <w:pStyle w:val="BodyText"/>
      </w:pPr>
      <w:r>
        <w:t xml:space="preserve">(2)</w:t>
      </w:r>
      <w:r>
        <w:t xml:space="preserve"> </w:t>
      </w:r>
      <w:r>
        <w:rPr>
          <w:b/>
          <w:bCs/>
        </w:rPr>
        <w:t xml:space="preserve">Klassifikation sensibler Kommentare.</w:t>
      </w:r>
      <w:r>
        <w:t xml:space="preserve"> </w:t>
      </w:r>
      <w:r>
        <w:t xml:space="preserve">Das System erkennt und klassifiziert Freitextkommentare zusätzlich nach den Kategorien</w:t>
      </w:r>
      <w:r>
        <w:t xml:space="preserve"> </w:t>
      </w:r>
      <w:r>
        <w:rPr>
          <w:b/>
          <w:bCs/>
        </w:rPr>
        <w:t xml:space="preserve">Konflikt, Gesundheit und persönliche Belastung</w:t>
      </w:r>
      <w:r>
        <w:t xml:space="preserve">. Diese Klassifikation dient ausschließlich der thematischen Auswertung auf aggregierter Ebene. Eine gesonderte Behandlung, Weiterleitung oder Priorisierung einzelner so klassifizierter Kommentare findet</w:t>
      </w:r>
      <w:r>
        <w:t xml:space="preserve"> </w:t>
      </w:r>
      <w:r>
        <w:rPr>
          <w:b/>
          <w:bCs/>
        </w:rPr>
        <w:t xml:space="preserve">nicht</w:t>
      </w:r>
      <w:r>
        <w:t xml:space="preserve"> </w:t>
      </w:r>
      <w:r>
        <w:t xml:space="preserve">statt; insbesondere werden sie nicht einzeln an die Personalabteilung, an Vorgesetzte oder an Dritte weitergegeben.</w:t>
      </w:r>
    </w:p>
    <w:p>
      <w:pPr>
        <w:pStyle w:val="BodyText"/>
      </w:pPr>
      <w:r>
        <w:t xml:space="preserve">(3) Die KI-Auswertung erfolgt</w:t>
      </w:r>
      <w:r>
        <w:t xml:space="preserve"> </w:t>
      </w:r>
      <w:r>
        <w:rPr>
          <w:b/>
          <w:bCs/>
        </w:rPr>
        <w:t xml:space="preserve">ausschließlich themenbezogen und aggregiert</w:t>
      </w:r>
      <w:r>
        <w:t xml:space="preserve"> </w:t>
      </w:r>
      <w:r>
        <w:t xml:space="preserve">und unterliegt denselben Schwellenwerten wie jede andere Auswertung (§ 6 Abs. 3).</w:t>
      </w:r>
    </w:p>
    <w:p>
      <w:pPr>
        <w:pStyle w:val="BodyText"/>
      </w:pPr>
      <w:r>
        <w:t xml:space="preserve">(4)</w:t>
      </w:r>
      <w:r>
        <w:t xml:space="preserve"> </w:t>
      </w:r>
      <w:r>
        <w:rPr>
          <w:b/>
          <w:bCs/>
        </w:rPr>
        <w:t xml:space="preserve">Keine Emotionserkennung.</w:t>
      </w:r>
      <w:r>
        <w:t xml:space="preserve"> </w:t>
      </w:r>
      <w:r>
        <w:t xml:space="preserve">Das System wertet ausschließlich Textangaben aus und verarbeitet keine biometrischen Daten; ein Emotionserkennungssystem im Sinne des</w:t>
      </w:r>
      <w:r>
        <w:t xml:space="preserve"> </w:t>
      </w:r>
      <w:r>
        <w:rPr>
          <w:b/>
          <w:bCs/>
        </w:rPr>
        <w:t xml:space="preserve">Art. 3 Nr. 39 der Verordnung (EU) 2024/1689 (KI-VO)</w:t>
      </w:r>
      <w:r>
        <w:t xml:space="preserve"> </w:t>
      </w:r>
      <w:r>
        <w:t xml:space="preserve">liegt daher nicht vor. Eine Erkennung von Emotionen einzelner Beschäftigter am Arbeitsplatz im Sinne des</w:t>
      </w:r>
      <w:r>
        <w:t xml:space="preserve"> </w:t>
      </w:r>
      <w:r>
        <w:rPr>
          <w:b/>
          <w:bCs/>
        </w:rPr>
        <w:t xml:space="preserve">Art. 5 Abs. 1 lit. f KI-VO</w:t>
      </w:r>
      <w:r>
        <w:t xml:space="preserve"> </w:t>
      </w:r>
      <w:r>
        <w:t xml:space="preserve">ist nicht Gegenstand der Nutzung und wird nicht durchgeführt. Stimmungs- oder Emotionsprofile einzelner Feedbackgebender oder einzelner Führungskräfte werden nicht gebildet.</w:t>
      </w:r>
    </w:p>
    <w:p>
      <w:pPr>
        <w:pStyle w:val="BodyText"/>
      </w:pPr>
      <w:r>
        <w:t xml:space="preserve">(5) Auf Basis der KI-Ergebnisse werden</w:t>
      </w:r>
      <w:r>
        <w:t xml:space="preserve"> </w:t>
      </w:r>
      <w:r>
        <w:rPr>
          <w:b/>
          <w:bCs/>
        </w:rPr>
        <w:t xml:space="preserve">keine Entscheidungen oder Entscheidungsvorschläge zu einzelnen Beschäftigten oder Führungskräften</w:t>
      </w:r>
      <w:r>
        <w:t xml:space="preserve"> </w:t>
      </w:r>
      <w:r>
        <w:t xml:space="preserve">erzeugt.</w:t>
      </w:r>
    </w:p>
    <w:p>
      <w:pPr>
        <w:pStyle w:val="BodyText"/>
      </w:pPr>
      <w:r>
        <w:t xml:space="preserve">(6) Die KI-Verarbeitung erfolgt bei europäischen Anbietern in europäischen Rechenzentren. Eine Nutzung der Daten zum</w:t>
      </w:r>
      <w:r>
        <w:t xml:space="preserve"> </w:t>
      </w:r>
      <w:r>
        <w:rPr>
          <w:b/>
          <w:bCs/>
        </w:rPr>
        <w:t xml:space="preserve">Training</w:t>
      </w:r>
      <w:r>
        <w:t xml:space="preserve"> </w:t>
      </w:r>
      <w:r>
        <w:t xml:space="preserve">von KI-Modellen ist vertraglich ausgeschlossen; beim Modellanbieter werden die Eingaben über die jeweilige Anfrage hinaus nicht gespeichert (Zero-Data-Retention).</w:t>
      </w:r>
    </w:p>
    <w:p>
      <w:pPr>
        <w:pStyle w:val="BodyText"/>
      </w:pPr>
      <w:r>
        <w:t xml:space="preserve">(7)</w:t>
      </w:r>
      <w:r>
        <w:t xml:space="preserve"> </w:t>
      </w:r>
      <w:r>
        <w:rPr>
          <w:b/>
          <w:bCs/>
        </w:rPr>
        <w:t xml:space="preserve">Speicherung der KI-Verarbeitung.</w:t>
      </w:r>
      <w:r>
        <w:t xml:space="preserve"> </w:t>
      </w:r>
      <w:r>
        <w:t xml:space="preserve">Der Anbieter speichert Protokolle und Eingaben (Prompts) für höchstens</w:t>
      </w:r>
      <w:r>
        <w:t xml:space="preserve"> </w:t>
      </w:r>
      <w:r>
        <w:rPr>
          <w:b/>
          <w:bCs/>
        </w:rPr>
        <w:t xml:space="preserve">90 Tage</w:t>
      </w:r>
      <w:r>
        <w:t xml:space="preserve">.</w:t>
      </w:r>
      <w:r>
        <w:t xml:space="preserve"> </w:t>
      </w:r>
      <w:r>
        <w:rPr>
          <w:b/>
          <w:bCs/>
        </w:rPr>
        <w:t xml:space="preserve">KI-Ergebnisse und Vektoren (Embeddings)</w:t>
      </w:r>
      <w:r>
        <w:t xml:space="preserve"> </w:t>
      </w:r>
      <w:r>
        <w:t xml:space="preserve">werden für die</w:t>
      </w:r>
      <w:r>
        <w:t xml:space="preserve"> </w:t>
      </w:r>
      <w:r>
        <w:rPr>
          <w:b/>
          <w:bCs/>
        </w:rPr>
        <w:t xml:space="preserve">Dauer der Vertragslaufzeit</w:t>
      </w:r>
      <w:r>
        <w:t xml:space="preserve"> </w:t>
      </w:r>
      <w:r>
        <w:t xml:space="preserve">gespeichert (§ 12 Abs. 5).</w:t>
      </w:r>
    </w:p>
    <w:p>
      <w:pPr>
        <w:pStyle w:val="BodyText"/>
      </w:pPr>
      <w:r>
        <w:t xml:space="preserve">(8)</w:t>
      </w:r>
      <w:r>
        <w:t xml:space="preserve"> </w:t>
      </w:r>
      <w:r>
        <w:rPr>
          <w:b/>
          <w:bCs/>
        </w:rPr>
        <w:t xml:space="preserve">Neue KI-Funktionen.</w:t>
      </w:r>
      <w:r>
        <w:t xml:space="preserve"> </w:t>
      </w:r>
      <w:r>
        <w:t xml:space="preserve">Der Arbeitgeber informiert den Betriebsrat unverzüglich, sobald ihm die Einführung weiterer KI-Funktionen bekannt wird. Neue KI-Funktionen werden</w:t>
      </w:r>
      <w:r>
        <w:t xml:space="preserve"> </w:t>
      </w:r>
      <w:r>
        <w:rPr>
          <w:b/>
          <w:bCs/>
        </w:rPr>
        <w:t xml:space="preserve">bis zur Zustimmung des Betriebsrats deaktiviert</w:t>
      </w:r>
      <w:r>
        <w:t xml:space="preserve">; das System lässt eine mandantenspezifische Deaktivierung von KI-Funktionen zu.</w:t>
      </w:r>
    </w:p>
    <w:bookmarkEnd w:id="21"/>
    <w:bookmarkStart w:id="22" w:name="X6c119177192706670996f14cf2ccca062d0ab8f"/>
    <w:p>
      <w:pPr>
        <w:pStyle w:val="Heading2"/>
      </w:pPr>
      <w:r>
        <w:t xml:space="preserve">§ 11 Auftragsverarbeitung, Hosting und Subunternehmer</w:t>
      </w:r>
    </w:p>
    <w:p>
      <w:pPr>
        <w:pStyle w:val="FirstParagraph"/>
      </w:pPr>
      <w:r>
        <w:t xml:space="preserve">(1) Der Anbieter verarbeitet die Daten als</w:t>
      </w:r>
      <w:r>
        <w:t xml:space="preserve"> </w:t>
      </w:r>
      <w:r>
        <w:rPr>
          <w:b/>
          <w:bCs/>
        </w:rPr>
        <w:t xml:space="preserve">Auftragsverarbeiter</w:t>
      </w:r>
      <w:r>
        <w:t xml:space="preserve"> </w:t>
      </w:r>
      <w:r>
        <w:t xml:space="preserve">auf Grundlage eines Vertrags nach</w:t>
      </w:r>
      <w:r>
        <w:t xml:space="preserve"> </w:t>
      </w:r>
      <w:r>
        <w:rPr>
          <w:b/>
          <w:bCs/>
        </w:rPr>
        <w:t xml:space="preserve">Art. 28 DSGVO</w:t>
      </w:r>
      <w:r>
        <w:t xml:space="preserve">. Der Auftragsverarbeitungsvertrag einschließlich der technischen und organisatorischen Maßnahmen (Art. 32 DSGVO) ist als</w:t>
      </w:r>
      <w:r>
        <w:t xml:space="preserve"> </w:t>
      </w:r>
      <w:r>
        <w:rPr>
          <w:b/>
          <w:bCs/>
        </w:rPr>
        <w:t xml:space="preserve">Anlage 5</w:t>
      </w:r>
      <w:r>
        <w:t xml:space="preserve"> </w:t>
      </w:r>
      <w:r>
        <w:t xml:space="preserve">beigefügt.</w:t>
      </w:r>
    </w:p>
    <w:p>
      <w:pPr>
        <w:pStyle w:val="BodyText"/>
      </w:pPr>
      <w:r>
        <w:t xml:space="preserve">(2) Die Daten werden im Wesentlichen in</w:t>
      </w:r>
      <w:r>
        <w:t xml:space="preserve"> </w:t>
      </w:r>
      <w:r>
        <w:rPr>
          <w:b/>
          <w:bCs/>
        </w:rPr>
        <w:t xml:space="preserve">Deutschland</w:t>
      </w:r>
      <w:r>
        <w:t xml:space="preserve"> </w:t>
      </w:r>
      <w:r>
        <w:t xml:space="preserve">verarbeitet; eingesetzte Subunternehmer sind</w:t>
      </w:r>
      <w:r>
        <w:t xml:space="preserve"> </w:t>
      </w:r>
      <w:r>
        <w:rPr>
          <w:b/>
          <w:bCs/>
        </w:rPr>
        <w:t xml:space="preserve">europäisch</w:t>
      </w:r>
      <w:r>
        <w:t xml:space="preserve">. Eine Verarbeitung außerhalb der EU/des EWR findet nicht statt, es sei denn, es liegt ein Angemessenheitsbeschluss vor.</w:t>
      </w:r>
    </w:p>
    <w:p>
      <w:pPr>
        <w:pStyle w:val="BodyText"/>
      </w:pPr>
      <w:r>
        <w:t xml:space="preserve">(3) Der Arbeitgeber informiert den Betriebsrat über den Wechsel oder die Hinzuziehung von Subunternehmern</w:t>
      </w:r>
      <w:r>
        <w:t xml:space="preserve"> </w:t>
      </w:r>
      <w:r>
        <w:rPr>
          <w:b/>
          <w:bCs/>
        </w:rPr>
        <w:t xml:space="preserve">vor</w:t>
      </w:r>
      <w:r>
        <w:t xml:space="preserve"> </w:t>
      </w:r>
      <w:r>
        <w:t xml:space="preserve">deren Einsatz und legt auf Verlangen die aktuelle Liste vor.</w:t>
      </w:r>
    </w:p>
    <w:p>
      <w:pPr>
        <w:pStyle w:val="BodyText"/>
      </w:pPr>
      <w:r>
        <w:t xml:space="preserve">(4)</w:t>
      </w:r>
      <w:r>
        <w:t xml:space="preserve"> </w:t>
      </w:r>
      <w:r>
        <w:rPr>
          <w:b/>
          <w:bCs/>
        </w:rPr>
        <w:t xml:space="preserve">Benchmarks.</w:t>
      </w:r>
      <w:r>
        <w:t xml:space="preserve"> </w:t>
      </w:r>
      <w:r>
        <w:t xml:space="preserve">Der Anbieter ist nach seinen Allgemeinen Geschäftsbedingungen berechtigt, vollständig</w:t>
      </w:r>
      <w:r>
        <w:t xml:space="preserve"> </w:t>
      </w:r>
      <w:r>
        <w:rPr>
          <w:b/>
          <w:bCs/>
        </w:rPr>
        <w:t xml:space="preserve">anonymisierte und aggregierte</w:t>
      </w:r>
      <w:r>
        <w:t xml:space="preserve"> </w:t>
      </w:r>
      <w:r>
        <w:t xml:space="preserve">Informationen aus der Plattform für aggregierte Vergleichswerte zu nutzen. Identifizierende Angaben und unveränderte Freitextangaben sind hiervon ausgenommen. Der Arbeitgeber informiert den Betriebsrat über den Umfang dieser Nutzung und widerspricht</w:t>
      </w:r>
      <w:r>
        <w:t xml:space="preserve"> </w:t>
      </w:r>
      <w:r>
        <w:rPr>
          <w:b/>
          <w:bCs/>
        </w:rPr>
        <w:t xml:space="preserve">auf Verlangen des Betriebsrats</w:t>
      </w:r>
      <w:r>
        <w:t xml:space="preserve"> </w:t>
      </w:r>
      <w:r>
        <w:t xml:space="preserve">gegenüber dem Anbieter der Nutzung der eigenen Daten für den Benchmark-Datenpool.</w:t>
      </w:r>
    </w:p>
    <w:bookmarkEnd w:id="22"/>
    <w:bookmarkStart w:id="23" w:name="X9dfd5fd37b8f7789c2f2fa87bf6eb1bd22acb93"/>
    <w:p>
      <w:pPr>
        <w:pStyle w:val="Heading2"/>
      </w:pPr>
      <w:r>
        <w:t xml:space="preserve">§ 12 Speicherdauer und Löschung</w:t>
      </w:r>
    </w:p>
    <w:p>
      <w:pPr>
        <w:pStyle w:val="FirstParagraph"/>
      </w:pPr>
      <w:r>
        <w:t xml:space="preserve">(1)</w:t>
      </w:r>
      <w:r>
        <w:t xml:space="preserve"> </w:t>
      </w:r>
      <w:r>
        <w:rPr>
          <w:b/>
          <w:bCs/>
        </w:rPr>
        <w:t xml:space="preserve">Antwortdatensätze (Rohdaten).</w:t>
      </w:r>
      <w:r>
        <w:t xml:space="preserve"> </w:t>
      </w:r>
      <w:r>
        <w:t xml:space="preserve">Die Einzelantworten der Feedbackgebenden sind die</w:t>
      </w:r>
      <w:r>
        <w:t xml:space="preserve"> </w:t>
      </w:r>
      <w:r>
        <w:rPr>
          <w:b/>
          <w:bCs/>
        </w:rPr>
        <w:t xml:space="preserve">Grundlage der Berichtsdarstellung</w:t>
      </w:r>
      <w:r>
        <w:t xml:space="preserve">: Der Entwicklungsbericht wird aus ihnen berechnet und nicht getrennt davon vorgehalten. Sie werden für die im Auftragsverarbeitungsvertrag vereinbarte Speicherdauer von</w:t>
      </w:r>
      <w:r>
        <w:t xml:space="preserve"> </w:t>
      </w:r>
      <w:r>
        <w:rPr>
          <w:b/>
          <w:bCs/>
        </w:rPr>
        <w:t xml:space="preserve">[…] Monaten</w:t>
      </w:r>
      <w:r>
        <w:t xml:space="preserve"> </w:t>
      </w:r>
      <w:r>
        <w:t xml:space="preserve">gespeichert und anschließend gelöscht.</w:t>
      </w:r>
    </w:p>
    <w:p>
      <w:pPr>
        <w:pStyle w:val="BlockText"/>
      </w:pPr>
      <w:r>
        <w:rPr>
          <w:b/>
          <w:bCs/>
        </w:rPr>
        <w:t xml:space="preserve">Was das praktisch bedeutet:</w:t>
      </w:r>
      <w:r>
        <w:t xml:space="preserve"> </w:t>
      </w:r>
      <w:r>
        <w:t xml:space="preserve">Eine Löschung der Antwortdatensätze führt dazu, dass der daraus berechnete Bericht</w:t>
      </w:r>
      <w:r>
        <w:t xml:space="preserve"> </w:t>
      </w:r>
      <w:r>
        <w:rPr>
          <w:b/>
          <w:bCs/>
        </w:rPr>
        <w:t xml:space="preserve">nicht mehr verfügbar</w:t>
      </w:r>
      <w:r>
        <w:t xml:space="preserve"> </w:t>
      </w:r>
      <w:r>
        <w:t xml:space="preserve">ist. Wer den Bericht über die Entwicklungsbegleitung hinaus behalten will, exportiert ihn vorher. Der Arbeitgeber kann die Löschung jederzeit</w:t>
      </w:r>
      <w:r>
        <w:t xml:space="preserve"> </w:t>
      </w:r>
      <w:r>
        <w:rPr>
          <w:b/>
          <w:bCs/>
        </w:rPr>
        <w:t xml:space="preserve">vorzeitig</w:t>
      </w:r>
      <w:r>
        <w:t xml:space="preserve"> </w:t>
      </w:r>
      <w:r>
        <w:t xml:space="preserve">verlangen.</w:t>
      </w:r>
    </w:p>
    <w:p>
      <w:pPr>
        <w:pStyle w:val="FirstParagraph"/>
      </w:pPr>
      <w:r>
        <w:t xml:space="preserve">(2) Der</w:t>
      </w:r>
      <w:r>
        <w:t xml:space="preserve"> </w:t>
      </w:r>
      <w:r>
        <w:rPr>
          <w:b/>
          <w:bCs/>
        </w:rPr>
        <w:t xml:space="preserve">Entwicklungsbericht</w:t>
      </w:r>
      <w:r>
        <w:t xml:space="preserve"> </w:t>
      </w:r>
      <w:r>
        <w:t xml:space="preserve">wird spätestens</w:t>
      </w:r>
      <w:r>
        <w:t xml:space="preserve"> </w:t>
      </w:r>
      <w:r>
        <w:rPr>
          <w:b/>
          <w:bCs/>
        </w:rPr>
        <w:t xml:space="preserve">[…] Monate</w:t>
      </w:r>
      <w:r>
        <w:t xml:space="preserve"> </w:t>
      </w:r>
      <w:r>
        <w:t xml:space="preserve">nach Abschluss der Entwicklungsbegleitung gelöscht</w:t>
      </w:r>
      <w:r>
        <w:t xml:space="preserve"> </w:t>
      </w:r>
      <w:r>
        <w:rPr>
          <w:i/>
          <w:iCs/>
        </w:rPr>
        <w:t xml:space="preserve">(Empfehlung: 12–24 Monate)</w:t>
      </w:r>
      <w:r>
        <w:t xml:space="preserve">. Berichte sind</w:t>
      </w:r>
      <w:r>
        <w:t xml:space="preserve"> </w:t>
      </w:r>
      <w:r>
        <w:rPr>
          <w:b/>
          <w:bCs/>
        </w:rPr>
        <w:t xml:space="preserve">gesondert löschbar</w:t>
      </w:r>
      <w:r>
        <w:t xml:space="preserve">. Die beurteilte Führungskraft kann</w:t>
      </w:r>
      <w:r>
        <w:t xml:space="preserve"> </w:t>
      </w:r>
      <w:r>
        <w:rPr>
          <w:b/>
          <w:bCs/>
        </w:rPr>
        <w:t xml:space="preserve">jederzeit</w:t>
      </w:r>
      <w:r>
        <w:t xml:space="preserve"> </w:t>
      </w:r>
      <w:r>
        <w:t xml:space="preserve">die vorzeitige Löschung ihres Berichts verlangen.</w:t>
      </w:r>
    </w:p>
    <w:p>
      <w:pPr>
        <w:pStyle w:val="BodyText"/>
      </w:pPr>
      <w:r>
        <w:t xml:space="preserve">(3)</w:t>
      </w:r>
      <w:r>
        <w:t xml:space="preserve"> </w:t>
      </w:r>
      <w:r>
        <w:rPr>
          <w:b/>
          <w:bCs/>
        </w:rPr>
        <w:t xml:space="preserve">Zugangscodes, Einmal-Links und Verteilerlisten</w:t>
      </w:r>
      <w:r>
        <w:t xml:space="preserve"> </w:t>
      </w:r>
      <w:r>
        <w:t xml:space="preserve">werden</w:t>
      </w:r>
      <w:r>
        <w:t xml:space="preserve"> </w:t>
      </w:r>
      <w:r>
        <w:rPr>
          <w:b/>
          <w:bCs/>
        </w:rPr>
        <w:t xml:space="preserve">gesondert</w:t>
      </w:r>
      <w:r>
        <w:t xml:space="preserve"> </w:t>
      </w:r>
      <w:r>
        <w:t xml:space="preserve">gelöscht. Der Arbeitgeber fordert die Löschung beim Anbieter spätestens</w:t>
      </w:r>
      <w:r>
        <w:t xml:space="preserve"> </w:t>
      </w:r>
      <w:r>
        <w:rPr>
          <w:b/>
          <w:bCs/>
        </w:rPr>
        <w:t xml:space="preserve">[…] Wochen</w:t>
      </w:r>
      <w:r>
        <w:t xml:space="preserve"> </w:t>
      </w:r>
      <w:r>
        <w:t xml:space="preserve">nach Ende des Feedbackzeitraums an</w:t>
      </w:r>
      <w:r>
        <w:t xml:space="preserve"> </w:t>
      </w:r>
      <w:r>
        <w:rPr>
          <w:i/>
          <w:iCs/>
        </w:rPr>
        <w:t xml:space="preserve">(Empfehlung: 4 Wochen)</w:t>
      </w:r>
      <w:r>
        <w:t xml:space="preserve">.</w:t>
      </w:r>
    </w:p>
    <w:p>
      <w:pPr>
        <w:pStyle w:val="BodyText"/>
      </w:pPr>
      <w:r>
        <w:t xml:space="preserve">(4)</w:t>
      </w:r>
      <w:r>
        <w:t xml:space="preserve"> </w:t>
      </w:r>
      <w:r>
        <w:rPr>
          <w:b/>
          <w:bCs/>
        </w:rPr>
        <w:t xml:space="preserve">Protokoll- und Zugriffsdaten</w:t>
      </w:r>
      <w:r>
        <w:t xml:space="preserve"> </w:t>
      </w:r>
      <w:r>
        <w:t xml:space="preserve">(Server- und Administrations-Logs des Anbieters) werden nach</w:t>
      </w:r>
      <w:r>
        <w:t xml:space="preserve"> </w:t>
      </w:r>
      <w:r>
        <w:rPr>
          <w:b/>
          <w:bCs/>
        </w:rPr>
        <w:t xml:space="preserve">90 Tagen</w:t>
      </w:r>
      <w:r>
        <w:t xml:space="preserve"> </w:t>
      </w:r>
      <w:r>
        <w:t xml:space="preserve">gelöscht (Ziffer „Protokollierung" der technischen und organisatorischen Maßnahmen, Anlage 5).</w:t>
      </w:r>
    </w:p>
    <w:p>
      <w:pPr>
        <w:pStyle w:val="BodyText"/>
      </w:pPr>
      <w:r>
        <w:t xml:space="preserve">(5)</w:t>
      </w:r>
      <w:r>
        <w:t xml:space="preserve"> </w:t>
      </w:r>
      <w:r>
        <w:rPr>
          <w:b/>
          <w:bCs/>
        </w:rPr>
        <w:t xml:space="preserve">KI-Ergebnisse und Vektoren (Embeddings)</w:t>
      </w:r>
      <w:r>
        <w:t xml:space="preserve"> </w:t>
      </w:r>
      <w:r>
        <w:t xml:space="preserve">werden für die</w:t>
      </w:r>
      <w:r>
        <w:t xml:space="preserve"> </w:t>
      </w:r>
      <w:r>
        <w:rPr>
          <w:b/>
          <w:bCs/>
        </w:rPr>
        <w:t xml:space="preserve">Dauer der Vertragslaufzeit</w:t>
      </w:r>
      <w:r>
        <w:t xml:space="preserve"> </w:t>
      </w:r>
      <w:r>
        <w:t xml:space="preserve">gespeichert und mit deren Ende gelöscht (§ 10 Abs. 7). Protokolle und Eingaben der KI-Verarbeitung werden nach höchstens</w:t>
      </w:r>
      <w:r>
        <w:t xml:space="preserve"> </w:t>
      </w:r>
      <w:r>
        <w:rPr>
          <w:b/>
          <w:bCs/>
        </w:rPr>
        <w:t xml:space="preserve">90 Tagen</w:t>
      </w:r>
      <w:r>
        <w:t xml:space="preserve"> </w:t>
      </w:r>
      <w:r>
        <w:t xml:space="preserve">gelöscht.</w:t>
      </w:r>
    </w:p>
    <w:p>
      <w:pPr>
        <w:pStyle w:val="BodyText"/>
      </w:pPr>
      <w:r>
        <w:t xml:space="preserve">(6)</w:t>
      </w:r>
      <w:r>
        <w:t xml:space="preserve"> </w:t>
      </w:r>
      <w:r>
        <w:rPr>
          <w:b/>
          <w:bCs/>
        </w:rPr>
        <w:t xml:space="preserve">Sicherungskopien (Backups)</w:t>
      </w:r>
      <w:r>
        <w:t xml:space="preserve"> </w:t>
      </w:r>
      <w:r>
        <w:t xml:space="preserve">werden für</w:t>
      </w:r>
      <w:r>
        <w:t xml:space="preserve"> </w:t>
      </w:r>
      <w:r>
        <w:rPr>
          <w:b/>
          <w:bCs/>
        </w:rPr>
        <w:t xml:space="preserve">90 Tage</w:t>
      </w:r>
      <w:r>
        <w:t xml:space="preserve"> </w:t>
      </w:r>
      <w:r>
        <w:t xml:space="preserve">vorgehalten und danach überschrieben oder datensicher gelöscht. Eine Löschung nach den Absätzen 1 bis 3 wirkt in den Sicherungskopien daher</w:t>
      </w:r>
      <w:r>
        <w:t xml:space="preserve"> </w:t>
      </w:r>
      <w:r>
        <w:rPr>
          <w:b/>
          <w:bCs/>
        </w:rPr>
        <w:t xml:space="preserve">mit einer Verzögerung von bis zu 90 Tagen</w:t>
      </w:r>
      <w:r>
        <w:t xml:space="preserve">; ein Zugriff auf Daten aus Sicherungskopien erfolgt ausschließlich zur Wiederherstellung.</w:t>
      </w:r>
    </w:p>
    <w:p>
      <w:pPr>
        <w:pStyle w:val="BodyText"/>
      </w:pPr>
      <w:r>
        <w:t xml:space="preserve">(7) Auf Verlangen einer Partei wird die Löschung nachgewiesen.</w:t>
      </w:r>
    </w:p>
    <w:p>
      <w:pPr>
        <w:pStyle w:val="BodyText"/>
      </w:pPr>
      <w:r>
        <w:t xml:space="preserve">(8)</w:t>
      </w:r>
      <w:r>
        <w:t xml:space="preserve"> </w:t>
      </w:r>
      <w:r>
        <w:rPr>
          <w:b/>
          <w:bCs/>
        </w:rPr>
        <w:t xml:space="preserve">Abbildung im Auftragsverarbeitungsvertrag.</w:t>
      </w:r>
      <w:r>
        <w:t xml:space="preserve"> </w:t>
      </w:r>
      <w:r>
        <w:t xml:space="preserve">Die in den Absätzen 1 bis 3 vereinbarten Fristen werden im Auftragsverarbeitungsvertrag (Anlage 5) verbindlich abgebildet. Ist eine Frist dort nicht abgebildet, wird das Feedbackverfahren erst gestartet, wenn eine Einigung mit dem Anbieter vorliegt oder die Parteien die Frist einvernehmlich angepasst haben.</w:t>
      </w:r>
    </w:p>
    <w:bookmarkEnd w:id="23"/>
    <w:bookmarkStart w:id="24" w:name="X0037e0d94aed246f08837ef1d69b2f0a72a134e"/>
    <w:p>
      <w:pPr>
        <w:pStyle w:val="Heading2"/>
      </w:pPr>
      <w:r>
        <w:t xml:space="preserve">§ 13 Information, Betroffenenrechte, Datenschutz-Folgenabschätzung</w:t>
      </w:r>
    </w:p>
    <w:p>
      <w:pPr>
        <w:pStyle w:val="FirstParagraph"/>
      </w:pPr>
      <w:r>
        <w:t xml:space="preserve">(1) Der Arbeitgeber informiert</w:t>
      </w:r>
      <w:r>
        <w:t xml:space="preserve"> </w:t>
      </w:r>
      <w:r>
        <w:rPr>
          <w:b/>
          <w:bCs/>
        </w:rPr>
        <w:t xml:space="preserve">Feedbackgebende und beurteilte Führungskräfte vor Beginn</w:t>
      </w:r>
      <w:r>
        <w:t xml:space="preserve"> </w:t>
      </w:r>
      <w:r>
        <w:t xml:space="preserve">in Textform über Zweck, Ablauf, Freiwilligkeit, Anonymität, Mindestanzahl, Empfängerkreis, Speicherdauer und Rechte (</w:t>
      </w:r>
      <w:r>
        <w:rPr>
          <w:b/>
          <w:bCs/>
        </w:rPr>
        <w:t xml:space="preserve">Anlage 6</w:t>
      </w:r>
      <w:r>
        <w:t xml:space="preserve">).</w:t>
      </w:r>
    </w:p>
    <w:p>
      <w:pPr>
        <w:pStyle w:val="BodyText"/>
      </w:pPr>
      <w:r>
        <w:t xml:space="preserve">(2) Es wird über die Rechte nach Art. 15 bis 21 DSGVO und das</w:t>
      </w:r>
      <w:r>
        <w:t xml:space="preserve"> </w:t>
      </w:r>
      <w:r>
        <w:rPr>
          <w:b/>
          <w:bCs/>
        </w:rPr>
        <w:t xml:space="preserve">Beschwerderecht nach Art. 77 DSGVO</w:t>
      </w:r>
      <w:r>
        <w:t xml:space="preserve"> </w:t>
      </w:r>
      <w:r>
        <w:t xml:space="preserve">informiert. Gegenüber Feedbackgebenden wird darauf hingewiesen, dass Auskunft, Berichtigung und Löschung einzelner Antworten aufgrund der Anonymisierung nicht möglich sind (</w:t>
      </w:r>
      <w:r>
        <w:rPr>
          <w:b/>
          <w:bCs/>
        </w:rPr>
        <w:t xml:space="preserve">Art. 11 Abs. 2 DSGVO</w:t>
      </w:r>
      <w:r>
        <w:t xml:space="preserve">).</w:t>
      </w:r>
    </w:p>
    <w:p>
      <w:pPr>
        <w:pStyle w:val="BodyText"/>
      </w:pPr>
      <w:r>
        <w:t xml:space="preserve">(3) Die/der</w:t>
      </w:r>
      <w:r>
        <w:t xml:space="preserve"> </w:t>
      </w:r>
      <w:r>
        <w:rPr>
          <w:b/>
          <w:bCs/>
        </w:rPr>
        <w:t xml:space="preserve">Datenschutzbeauftragte</w:t>
      </w:r>
      <w:r>
        <w:t xml:space="preserve"> </w:t>
      </w:r>
      <w:r>
        <w:t xml:space="preserve">wird spätestens</w:t>
      </w:r>
      <w:r>
        <w:t xml:space="preserve"> </w:t>
      </w:r>
      <w:r>
        <w:rPr>
          <w:b/>
          <w:bCs/>
        </w:rPr>
        <w:t xml:space="preserve">vier Wochen vor</w:t>
      </w:r>
      <w:r>
        <w:t xml:space="preserve"> </w:t>
      </w:r>
      <w:r>
        <w:t xml:space="preserve">dem Start eingebunden.</w:t>
      </w:r>
    </w:p>
    <w:p>
      <w:pPr>
        <w:pStyle w:val="BodyText"/>
      </w:pPr>
      <w:r>
        <w:t xml:space="preserve">(4) Der Arbeitgeber führt die Verarbeitung im</w:t>
      </w:r>
      <w:r>
        <w:t xml:space="preserve"> </w:t>
      </w:r>
      <w:r>
        <w:rPr>
          <w:b/>
          <w:bCs/>
        </w:rPr>
        <w:t xml:space="preserve">Verzeichnis von Verarbeitungstätigkeiten (Art. 30 DSGVO)</w:t>
      </w:r>
      <w:r>
        <w:t xml:space="preserve">.</w:t>
      </w:r>
    </w:p>
    <w:p>
      <w:pPr>
        <w:pStyle w:val="BodyText"/>
      </w:pPr>
      <w:r>
        <w:t xml:space="preserve">(5) Die Prüfung und ggf. Durchführung einer</w:t>
      </w:r>
      <w:r>
        <w:t xml:space="preserve"> </w:t>
      </w:r>
      <w:r>
        <w:rPr>
          <w:b/>
          <w:bCs/>
        </w:rPr>
        <w:t xml:space="preserve">Datenschutz-Folgenabschätzung nach Art. 35 DSGVO</w:t>
      </w:r>
      <w:r>
        <w:t xml:space="preserve"> </w:t>
      </w:r>
      <w:r>
        <w:t xml:space="preserve">obliegt dem</w:t>
      </w:r>
      <w:r>
        <w:t xml:space="preserve"> </w:t>
      </w:r>
      <w:r>
        <w:rPr>
          <w:b/>
          <w:bCs/>
        </w:rPr>
        <w:t xml:space="preserve">Arbeitgeber als Verantwortlichem</w:t>
      </w:r>
      <w:r>
        <w:t xml:space="preserve">; das Ergebnis wird dem Betriebsrat vorgelegt.</w:t>
      </w:r>
      <w:r>
        <w:t xml:space="preserve"> </w:t>
      </w:r>
      <w:r>
        <w:rPr>
          <w:i/>
          <w:iCs/>
        </w:rPr>
        <w:t xml:space="preserve">Bei einer systematischen Bewertung von Führungsverhalten ist eine DSFA regelmäßig zu prüfen.</w:t>
      </w:r>
    </w:p>
    <w:bookmarkEnd w:id="24"/>
    <w:bookmarkStart w:id="25" w:name="X8678f02d6c2190daeeffbe6b07f2c58cff50396"/>
    <w:p>
      <w:pPr>
        <w:pStyle w:val="Heading2"/>
      </w:pPr>
      <w:r>
        <w:t xml:space="preserve">§ 14 Ergebnisverwendung und Folgemaßnahmen</w:t>
      </w:r>
    </w:p>
    <w:p>
      <w:pPr>
        <w:pStyle w:val="FirstParagraph"/>
      </w:pPr>
      <w:r>
        <w:t xml:space="preserve">(1) Aus dem Feedback abgeleitete</w:t>
      </w:r>
      <w:r>
        <w:t xml:space="preserve"> </w:t>
      </w:r>
      <w:r>
        <w:rPr>
          <w:b/>
          <w:bCs/>
        </w:rPr>
        <w:t xml:space="preserve">Entwicklungsmaßnahmen</w:t>
      </w:r>
      <w:r>
        <w:t xml:space="preserve"> </w:t>
      </w:r>
      <w:r>
        <w:t xml:space="preserve">(z. B. Coaching, Schulung, Workshop) werden mit der beurteilten Führungskraft vereinbart.</w:t>
      </w:r>
    </w:p>
    <w:p>
      <w:pPr>
        <w:pStyle w:val="BodyText"/>
      </w:pPr>
      <w:r>
        <w:t xml:space="preserve">(2)</w:t>
      </w:r>
      <w:r>
        <w:t xml:space="preserve"> </w:t>
      </w:r>
      <w:r>
        <w:rPr>
          <w:b/>
          <w:bCs/>
        </w:rPr>
        <w:t xml:space="preserve">Organisationsweite Folgemaßnahmen</w:t>
      </w:r>
      <w:r>
        <w:t xml:space="preserve"> </w:t>
      </w:r>
      <w:r>
        <w:t xml:space="preserve">aus den aggregierten Ergebnissen (§ 8 Abs. 5) werden nur</w:t>
      </w:r>
      <w:r>
        <w:t xml:space="preserve"> </w:t>
      </w:r>
      <w:r>
        <w:rPr>
          <w:b/>
          <w:bCs/>
        </w:rPr>
        <w:t xml:space="preserve">mit Zustimmung des Betriebsrats</w:t>
      </w:r>
      <w:r>
        <w:t xml:space="preserve"> </w:t>
      </w:r>
      <w:r>
        <w:t xml:space="preserve">eingeleitet.</w:t>
      </w:r>
    </w:p>
    <w:p>
      <w:pPr>
        <w:pStyle w:val="BodyText"/>
      </w:pPr>
      <w:r>
        <w:t xml:space="preserve">(3) Eine</w:t>
      </w:r>
      <w:r>
        <w:t xml:space="preserve"> </w:t>
      </w:r>
      <w:r>
        <w:rPr>
          <w:b/>
          <w:bCs/>
        </w:rPr>
        <w:t xml:space="preserve">Wiederholung</w:t>
      </w:r>
      <w:r>
        <w:t xml:space="preserve"> </w:t>
      </w:r>
      <w:r>
        <w:t xml:space="preserve">des Feedbacks erfolgt im Turnus von […].</w:t>
      </w:r>
    </w:p>
    <w:bookmarkEnd w:id="25"/>
    <w:bookmarkStart w:id="26" w:name="Xfd274db6612e2ffcc6a0f341ad99d12e5079ae0"/>
    <w:p>
      <w:pPr>
        <w:pStyle w:val="Heading2"/>
      </w:pPr>
      <w:r>
        <w:t xml:space="preserve">§ 15 Rechte des Betriebsrats</w:t>
      </w:r>
    </w:p>
    <w:p>
      <w:pPr>
        <w:pStyle w:val="FirstParagraph"/>
      </w:pPr>
      <w:r>
        <w:t xml:space="preserve">(1) Der Betriebsrat wird nach</w:t>
      </w:r>
      <w:r>
        <w:t xml:space="preserve"> </w:t>
      </w:r>
      <w:r>
        <w:rPr>
          <w:b/>
          <w:bCs/>
        </w:rPr>
        <w:t xml:space="preserve">§ 80 Abs. 2 BetrVG</w:t>
      </w:r>
      <w:r>
        <w:t xml:space="preserve"> </w:t>
      </w:r>
      <w:r>
        <w:t xml:space="preserve">rechtzeitig und umfassend informiert, insbesondere über das eingesetzte System, die Software, die gespeicherten personenbezogenen Daten, deren Verknüpfung,</w:t>
      </w:r>
      <w:r>
        <w:t xml:space="preserve"> </w:t>
      </w:r>
      <w:r>
        <w:rPr>
          <w:b/>
          <w:bCs/>
        </w:rPr>
        <w:t xml:space="preserve">Schnittstellen</w:t>
      </w:r>
      <w:r>
        <w:t xml:space="preserve"> </w:t>
      </w:r>
      <w:r>
        <w:t xml:space="preserve">(Anlage 4), zugriffsberechtigte Personen (Anlage 3) und das Datenschutzkonzept.</w:t>
      </w:r>
    </w:p>
    <w:p>
      <w:pPr>
        <w:pStyle w:val="BodyText"/>
      </w:pPr>
      <w:r>
        <w:t xml:space="preserve">(2) Der Betriebsrat kontrolliert die Einhaltung dieser Vereinbarung und kann Einsicht in Konfiguration und Berechtigungskonzept nehmen. Zur Wahrnehmung dieser Aufgabe kann er nach</w:t>
      </w:r>
      <w:r>
        <w:t xml:space="preserve"> </w:t>
      </w:r>
      <w:r>
        <w:rPr>
          <w:b/>
          <w:bCs/>
        </w:rPr>
        <w:t xml:space="preserve">§ 80 Abs. 3 BetrVG</w:t>
      </w:r>
      <w:r>
        <w:t xml:space="preserve"> </w:t>
      </w:r>
      <w:r>
        <w:t xml:space="preserve">eine:n Sachverständige:n hinzuziehen; der Arbeitgeber erklärt sein Einverständnis hierzu für bis zu […] Tage je Feedbackzyklus.</w:t>
      </w:r>
    </w:p>
    <w:p>
      <w:pPr>
        <w:pStyle w:val="BodyText"/>
      </w:pPr>
      <w:r>
        <w:t xml:space="preserve">(3) Der Betriebsrat beachtet § 79a BetrVG; Verantwortlicher bleibt der Arbeitgeber.</w:t>
      </w:r>
    </w:p>
    <w:bookmarkEnd w:id="26"/>
    <w:bookmarkStart w:id="27" w:name="X623790bd3714763ec333f840adf62ba65743806"/>
    <w:p>
      <w:pPr>
        <w:pStyle w:val="Heading2"/>
      </w:pPr>
      <w:r>
        <w:t xml:space="preserve">§ 16 Verstöße und Streitigkeiten</w:t>
      </w:r>
    </w:p>
    <w:p>
      <w:pPr>
        <w:pStyle w:val="FirstParagraph"/>
      </w:pPr>
      <w:r>
        <w:t xml:space="preserve">(1) Bei Verstößen kann der Betriebsrat die</w:t>
      </w:r>
      <w:r>
        <w:t xml:space="preserve"> </w:t>
      </w:r>
      <w:r>
        <w:rPr>
          <w:b/>
          <w:bCs/>
        </w:rPr>
        <w:t xml:space="preserve">Aussetzung des Feedbackverfahrens</w:t>
      </w:r>
      <w:r>
        <w:t xml:space="preserve"> </w:t>
      </w:r>
      <w:r>
        <w:t xml:space="preserve">oder die Sperrung von Auswertungen verlangen, bis der Verstoß behoben ist.</w:t>
      </w:r>
    </w:p>
    <w:p>
      <w:pPr>
        <w:pStyle w:val="BodyText"/>
      </w:pPr>
      <w:r>
        <w:t xml:space="preserve">(2) Unter Verstoß gegen diese Vereinbarung erhobene oder ausgewertete Daten sind</w:t>
      </w:r>
      <w:r>
        <w:t xml:space="preserve"> </w:t>
      </w:r>
      <w:r>
        <w:rPr>
          <w:b/>
          <w:bCs/>
        </w:rPr>
        <w:t xml:space="preserve">unverzüglich zu löschen</w:t>
      </w:r>
      <w:r>
        <w:t xml:space="preserve"> </w:t>
      </w:r>
      <w:r>
        <w:t xml:space="preserve">und dürfen nicht verwendet werden. Ein gleichwohl erstellter Bericht wird vernichtet.</w:t>
      </w:r>
    </w:p>
    <w:p>
      <w:pPr>
        <w:pStyle w:val="BodyText"/>
      </w:pPr>
      <w:r>
        <w:t xml:space="preserve">(3)</w:t>
      </w:r>
      <w:r>
        <w:t xml:space="preserve"> </w:t>
      </w:r>
      <w:r>
        <w:rPr>
          <w:b/>
          <w:bCs/>
        </w:rPr>
        <w:t xml:space="preserve">Meinungsverschiedenheiten</w:t>
      </w:r>
      <w:r>
        <w:t xml:space="preserve"> </w:t>
      </w:r>
      <w:r>
        <w:t xml:space="preserve">über die Auslegung oder Anwendung dieser Vereinbarung werden zunächst zwischen den Parteien erörtert. Kommt eine Einigung nicht zustande, entscheidet die</w:t>
      </w:r>
      <w:r>
        <w:t xml:space="preserve"> </w:t>
      </w:r>
      <w:r>
        <w:rPr>
          <w:b/>
          <w:bCs/>
        </w:rPr>
        <w:t xml:space="preserve">Einigungsstelle (§ 76 BetrVG)</w:t>
      </w:r>
      <w:r>
        <w:t xml:space="preserve">.</w:t>
      </w:r>
    </w:p>
    <w:bookmarkEnd w:id="27"/>
    <w:bookmarkStart w:id="28" w:name="X45d7024ace0349741a8abd48918949afd06303d"/>
    <w:p>
      <w:pPr>
        <w:pStyle w:val="Heading2"/>
      </w:pPr>
      <w:r>
        <w:t xml:space="preserve">§ 17 Inkrafttreten, Laufzeit, Kündigung und Nachwirkung</w:t>
      </w:r>
    </w:p>
    <w:p>
      <w:pPr>
        <w:pStyle w:val="FirstParagraph"/>
      </w:pPr>
      <w:r>
        <w:t xml:space="preserve">(1) Diese Betriebsvereinbarung tritt mit Unterzeichnung in Kraft.</w:t>
      </w:r>
    </w:p>
    <w:p>
      <w:pPr>
        <w:pStyle w:val="BodyText"/>
      </w:pPr>
      <w:r>
        <w:t xml:space="preserve">(2) Sie kann mit einer Frist von</w:t>
      </w:r>
      <w:r>
        <w:t xml:space="preserve"> </w:t>
      </w:r>
      <w:r>
        <w:rPr>
          <w:b/>
          <w:bCs/>
        </w:rPr>
        <w:t xml:space="preserve">drei Monaten</w:t>
      </w:r>
      <w:r>
        <w:t xml:space="preserve"> </w:t>
      </w:r>
      <w:r>
        <w:t xml:space="preserve">zum Monatsende gekündigt werden.</w:t>
      </w:r>
    </w:p>
    <w:p>
      <w:pPr>
        <w:pStyle w:val="BodyText"/>
      </w:pPr>
      <w:r>
        <w:t xml:space="preserve">(3)</w:t>
      </w:r>
      <w:r>
        <w:t xml:space="preserve"> </w:t>
      </w:r>
      <w:r>
        <w:rPr>
          <w:b/>
          <w:bCs/>
        </w:rPr>
        <w:t xml:space="preserve">Nachwirkung.</w:t>
      </w:r>
      <w:r>
        <w:t xml:space="preserve"> </w:t>
      </w:r>
      <w:r>
        <w:t xml:space="preserve">Die Bestimmungen wirken nach, bis sie durch eine andere Vereinbarung ersetzt werden; die Parteien vereinbaren die Nachwirkung auch, soweit sie nach § 77 Abs. 6 BetrVG nicht kraft Gesetzes eintritt. Während der Nachwirkung sind Feedbackverfahren</w:t>
      </w:r>
      <w:r>
        <w:t xml:space="preserve"> </w:t>
      </w:r>
      <w:r>
        <w:rPr>
          <w:b/>
          <w:bCs/>
        </w:rPr>
        <w:t xml:space="preserve">nach Maßgabe dieser Vereinbarung weiterhin zulässig</w:t>
      </w:r>
      <w:r>
        <w:t xml:space="preserve">. Neue Feedbackformate sowie wesentliche Änderungen der Beurteilungsgrundsätze, des Fragebogens, des Rollenkonzepts oder der Systemkonfiguration bedürfen während der Nachwirkung der Zustimmung des Betriebsrats.</w:t>
      </w:r>
    </w:p>
    <w:p>
      <w:pPr>
        <w:pStyle w:val="BodyText"/>
      </w:pPr>
      <w:r>
        <w:t xml:space="preserve">(4) Ändern sich die rechtlichen Grundlagen wesentlich, nehmen die Parteien unverzüglich Verhandlungen über eine Anpassung auf.</w:t>
      </w:r>
    </w:p>
    <w:bookmarkEnd w:id="28"/>
    <w:bookmarkStart w:id="29" w:name="X04be09dc6085c2af6d195372ffabe0d26f577e7"/>
    <w:p>
      <w:pPr>
        <w:pStyle w:val="Heading2"/>
      </w:pPr>
      <w:r>
        <w:t xml:space="preserve">§ 18 Schlussbestimmungen</w:t>
      </w:r>
    </w:p>
    <w:p>
      <w:pPr>
        <w:pStyle w:val="FirstParagraph"/>
      </w:pPr>
      <w:r>
        <w:t xml:space="preserve">(1) Änderungen und Ergänzungen bedürfen der</w:t>
      </w:r>
      <w:r>
        <w:t xml:space="preserve"> </w:t>
      </w:r>
      <w:r>
        <w:rPr>
          <w:b/>
          <w:bCs/>
        </w:rPr>
        <w:t xml:space="preserve">Schriftform</w:t>
      </w:r>
      <w:r>
        <w:t xml:space="preserve"> </w:t>
      </w:r>
      <w:r>
        <w:t xml:space="preserve">(§ 77 Abs. 2 BetrVG).</w:t>
      </w:r>
    </w:p>
    <w:p>
      <w:pPr>
        <w:pStyle w:val="BodyText"/>
      </w:pPr>
      <w:r>
        <w:t xml:space="preserve">(2) Sollte eine Bestimmung unwirksam sein, bleibt die Wirksamkeit der übrigen unberührt.</w:t>
      </w:r>
    </w:p>
    <w:p>
      <w:pPr>
        <w:pStyle w:val="BodyText"/>
      </w:pPr>
      <w:r>
        <w:t xml:space="preserve">(3) Die Betriebsvereinbarung wird im Betrieb bekannt gemacht (§ 77 Abs. 2 Satz 3 BetrVG).</w:t>
      </w:r>
    </w:p>
    <w:p>
      <w:pPr>
        <w:pStyle w:val="BodyText"/>
      </w:pPr>
      <w:r>
        <w:t xml:space="preserve">(4)</w:t>
      </w:r>
      <w:r>
        <w:t xml:space="preserve"> </w:t>
      </w:r>
      <w:r>
        <w:rPr>
          <w:b/>
          <w:bCs/>
        </w:rPr>
        <w:t xml:space="preserve">Anlagen</w:t>
      </w:r>
      <w:r>
        <w:t xml:space="preserve"> </w:t>
      </w:r>
      <w:r>
        <w:t xml:space="preserve">sind Bestandteil dieser Vereinbarung:</w:t>
      </w:r>
    </w:p>
    <w:p>
      <w:pPr>
        <w:pStyle w:val="Compact"/>
        <w:numPr>
          <w:ilvl w:val="0"/>
          <w:numId w:val="1001"/>
        </w:numPr>
      </w:pPr>
      <w:r>
        <w:t xml:space="preserve">Anlage 1: Beurteilungsgrundsätze / Kompetenzmodell (§ 94 Abs. 2 BetrVG)</w:t>
      </w:r>
    </w:p>
    <w:p>
      <w:pPr>
        <w:pStyle w:val="Compact"/>
        <w:numPr>
          <w:ilvl w:val="0"/>
          <w:numId w:val="1001"/>
        </w:numPr>
      </w:pPr>
      <w:r>
        <w:t xml:space="preserve">Anlage 2: Fragebogen</w:t>
      </w:r>
    </w:p>
    <w:p>
      <w:pPr>
        <w:pStyle w:val="Compact"/>
        <w:numPr>
          <w:ilvl w:val="0"/>
          <w:numId w:val="1001"/>
        </w:numPr>
      </w:pPr>
      <w:r>
        <w:t xml:space="preserve">Anlage 3: Rollen- und Berechtigungskonzept</w:t>
      </w:r>
    </w:p>
    <w:p>
      <w:pPr>
        <w:pStyle w:val="Compact"/>
        <w:numPr>
          <w:ilvl w:val="0"/>
          <w:numId w:val="1001"/>
        </w:numPr>
      </w:pPr>
      <w:r>
        <w:t xml:space="preserve">Anlage 4: Schnittstellenübersicht</w:t>
      </w:r>
    </w:p>
    <w:p>
      <w:pPr>
        <w:pStyle w:val="Compact"/>
        <w:numPr>
          <w:ilvl w:val="0"/>
          <w:numId w:val="1001"/>
        </w:numPr>
      </w:pPr>
      <w:r>
        <w:t xml:space="preserve">Anlage 5: Auftragsverarbeitungsvertrag inkl. technischer und organisatorischer Maßnahmen</w:t>
      </w:r>
    </w:p>
    <w:p>
      <w:pPr>
        <w:pStyle w:val="Compact"/>
        <w:numPr>
          <w:ilvl w:val="0"/>
          <w:numId w:val="1001"/>
        </w:numPr>
      </w:pPr>
      <w:r>
        <w:t xml:space="preserve">Anlage 6: Informationsschreiben nach Art. 13/14 DSGVO</w:t>
      </w:r>
    </w:p>
    <w:p>
      <w:r>
        <w:pict>
          <v:rect style="width:0;height:1.5pt" o:hralign="center" o:hrstd="t" o:hr="t"/>
        </w:pict>
      </w:r>
    </w:p>
    <w:p>
      <w:pPr>
        <w:pStyle w:val="FirstParagraph"/>
      </w:pPr>
      <w:r>
        <w:t xml:space="preserve">[…], den […]</w:t>
      </w:r>
    </w:p>
    <w:p>
      <w:r>
        <w:pict>
          <v:rect style="width:0;height:1.5pt" o:hralign="center" o:hrstd="t" o:hr="t"/>
        </w:pict>
      </w:r>
    </w:p>
    <w:p>
      <w:pPr>
        <w:pStyle w:val="FirstParagraph"/>
      </w:pPr>
      <w:r>
        <w:t xml:space="preserve">Für den Arbeitgeber Für den Betriebsrat</w:t>
      </w:r>
    </w:p>
    <w:p>
      <w:r>
        <w:pict>
          <v:rect style="width:0;height:1.5pt" o:hralign="center" o:hrstd="t" o:hr="t"/>
        </w:pict>
      </w:r>
    </w:p>
    <w:p>
      <w:pPr>
        <w:pStyle w:val="FirstParagraph"/>
      </w:pPr>
      <w:r>
        <w:rPr>
          <w:i/>
          <w:iCs/>
        </w:rPr>
        <w:t xml:space="preserve">Unverbindliches Muster ohne Gewähr. Keine Rechtsberatung, keine Rechtsdienstleistung, keine Zusicherung der Rechtskonformität. Nicht Bestandteil des Lieferumfangs. Vor Abschluss durch eigene Rechtsberatung und Datenschutzbeauftragte prüfen und an den Einzelfall anpassen. Angaben zum Systemverhalten: Stand 14.07.2026; maßgeblich sind allein AGB, Auftragsverarbeitungsvertrag und Leistungsbeschreibung.</w:t>
      </w:r>
    </w:p>
    <w:bookmarkEnd w:id="29"/>
    <w:bookmarkEnd w:id="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2026-07-14T14:14:41Z</dcterms:created>
  <dcterms:modified xsi:type="dcterms:W3CDTF">2026-07-14T14:14:41Z</dcterms:modified>
</cp:coreProperties>
</file>

<file path=docProps/custom.xml><?xml version="1.0" encoding="utf-8"?>
<Properties xmlns="http://schemas.openxmlformats.org/officeDocument/2006/custom-properties" xmlns:vt="http://schemas.openxmlformats.org/officeDocument/2006/docPropsVTypes"/>
</file>